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25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080"/>
      </w:tblGrid>
      <w:tr w:rsidR="00F9766B" w:rsidRPr="00C857EB" w14:paraId="40CC5236" w14:textId="77777777" w:rsidTr="00412A5C">
        <w:tc>
          <w:tcPr>
            <w:tcW w:w="10080" w:type="dxa"/>
            <w:shd w:val="clear" w:color="auto" w:fill="auto"/>
          </w:tcPr>
          <w:p w14:paraId="6D0DADAA" w14:textId="35AD423A" w:rsidR="00F9766B" w:rsidRPr="00C857EB" w:rsidRDefault="00B94EA1" w:rsidP="00412A5C">
            <w:pPr>
              <w:pStyle w:val="BodyText"/>
              <w:spacing w:before="60" w:after="60"/>
              <w:jc w:val="center"/>
              <w:rPr>
                <w:rFonts w:ascii="Calibri" w:hAnsi="Calibri" w:cs="Calibri"/>
                <w:b/>
                <w:sz w:val="28"/>
                <w:szCs w:val="28"/>
              </w:rPr>
            </w:pPr>
            <w:r w:rsidRPr="00B94EA1">
              <w:rPr>
                <w:rFonts w:ascii="Calibri" w:hAnsi="Calibri" w:cs="Calibri"/>
                <w:b/>
                <w:sz w:val="28"/>
                <w:szCs w:val="28"/>
              </w:rPr>
              <w:t>DUE DILIGENCE CHECKLIST</w:t>
            </w:r>
          </w:p>
        </w:tc>
      </w:tr>
    </w:tbl>
    <w:p w14:paraId="182C55B8" w14:textId="3CF313BC" w:rsidR="00F9766B" w:rsidRDefault="00B94EA1" w:rsidP="00B94EA1">
      <w:pPr>
        <w:jc w:val="center"/>
        <w:rPr>
          <w:bCs/>
          <w:i/>
          <w:iCs/>
        </w:rPr>
      </w:pPr>
      <w:r w:rsidRPr="00F9766B">
        <w:rPr>
          <w:rFonts w:ascii="Calibri" w:hAnsi="Calibri" w:cs="Calibri"/>
          <w:sz w:val="28"/>
          <w:szCs w:val="28"/>
          <w:lang w:val="en-CA"/>
        </w:rPr>
        <w:br/>
      </w:r>
      <w:r>
        <w:rPr>
          <w:rFonts w:ascii="Calibri" w:hAnsi="Calibri" w:cs="Calibri"/>
          <w:sz w:val="28"/>
          <w:szCs w:val="28"/>
          <w:lang w:val="en-CA"/>
        </w:rPr>
        <w:t>Solicitors</w:t>
      </w:r>
      <w:r>
        <w:rPr>
          <w:rFonts w:ascii="Calibri" w:hAnsi="Calibri" w:cs="Calibri"/>
          <w:sz w:val="28"/>
          <w:szCs w:val="28"/>
        </w:rPr>
        <w:t xml:space="preserve"> Legal Opinions Committee</w:t>
      </w:r>
      <w:r w:rsidR="00EB686A">
        <w:rPr>
          <w:rFonts w:ascii="Calibri" w:hAnsi="Calibri" w:cs="Calibri"/>
          <w:sz w:val="28"/>
          <w:szCs w:val="28"/>
        </w:rPr>
        <w:t xml:space="preserve"> (SLOC)</w:t>
      </w:r>
      <w:r>
        <w:rPr>
          <w:rFonts w:ascii="Calibri" w:hAnsi="Calibri" w:cs="Calibri"/>
          <w:sz w:val="28"/>
          <w:szCs w:val="28"/>
        </w:rPr>
        <w:br/>
      </w:r>
      <w:r w:rsidR="00EB686A">
        <w:rPr>
          <w:rFonts w:ascii="Calibri" w:hAnsi="Calibri" w:cs="Calibri"/>
          <w:sz w:val="28"/>
          <w:szCs w:val="28"/>
          <w:lang w:val="en-CA"/>
        </w:rPr>
        <w:t xml:space="preserve">Model </w:t>
      </w:r>
      <w:r w:rsidRPr="00F9766B">
        <w:rPr>
          <w:rFonts w:ascii="Calibri" w:hAnsi="Calibri" w:cs="Calibri"/>
          <w:sz w:val="28"/>
          <w:szCs w:val="28"/>
          <w:lang w:val="en-CA"/>
        </w:rPr>
        <w:t>Form of Commercial Legal</w:t>
      </w:r>
      <w:r>
        <w:rPr>
          <w:rFonts w:ascii="Calibri" w:hAnsi="Calibri" w:cs="Calibri"/>
          <w:sz w:val="28"/>
          <w:szCs w:val="28"/>
          <w:lang w:val="en-CA"/>
        </w:rPr>
        <w:t xml:space="preserve"> Opinion</w:t>
      </w:r>
      <w:r>
        <w:rPr>
          <w:rFonts w:ascii="Calibri" w:hAnsi="Calibri" w:cs="Calibri"/>
          <w:sz w:val="28"/>
          <w:szCs w:val="28"/>
        </w:rPr>
        <w:t xml:space="preserve"> for Corporations</w:t>
      </w:r>
    </w:p>
    <w:p w14:paraId="204B735D" w14:textId="1CA67AB0" w:rsidR="00F9766B" w:rsidRDefault="00F9766B" w:rsidP="00360E5E">
      <w:pPr>
        <w:jc w:val="both"/>
        <w:rPr>
          <w:rStyle w:val="Italic"/>
        </w:rPr>
      </w:pPr>
      <w:r w:rsidRPr="00810341">
        <w:rPr>
          <w:bCs/>
          <w:i/>
          <w:iCs/>
        </w:rPr>
        <w:t xml:space="preserve">This </w:t>
      </w:r>
      <w:r w:rsidR="00B94EA1">
        <w:rPr>
          <w:bCs/>
          <w:i/>
          <w:iCs/>
        </w:rPr>
        <w:t>checklist</w:t>
      </w:r>
      <w:r w:rsidRPr="00810341">
        <w:rPr>
          <w:bCs/>
          <w:i/>
          <w:iCs/>
        </w:rPr>
        <w:t xml:space="preserve"> is a resource for practitioners as they prepare a commercial legal opinion</w:t>
      </w:r>
      <w:r w:rsidR="00D14868">
        <w:rPr>
          <w:bCs/>
          <w:i/>
          <w:iCs/>
        </w:rPr>
        <w:t xml:space="preserve"> based on the SLOC Model Form of Commercial Opinion</w:t>
      </w:r>
      <w:r w:rsidRPr="00810341">
        <w:rPr>
          <w:bCs/>
          <w:i/>
          <w:iCs/>
        </w:rPr>
        <w:t xml:space="preserve"> and </w:t>
      </w:r>
      <w:r w:rsidR="00360E5E">
        <w:rPr>
          <w:bCs/>
          <w:i/>
          <w:iCs/>
        </w:rPr>
        <w:t>sets out the typical</w:t>
      </w:r>
      <w:r w:rsidRPr="00810341">
        <w:rPr>
          <w:bCs/>
          <w:i/>
          <w:iCs/>
        </w:rPr>
        <w:t xml:space="preserve"> underlying due diligence</w:t>
      </w:r>
      <w:r w:rsidR="00360E5E">
        <w:rPr>
          <w:bCs/>
          <w:i/>
          <w:iCs/>
        </w:rPr>
        <w:t xml:space="preserve"> usually reviewed in connection with </w:t>
      </w:r>
      <w:r w:rsidRPr="00810341">
        <w:rPr>
          <w:bCs/>
          <w:i/>
          <w:iCs/>
        </w:rPr>
        <w:t>giv</w:t>
      </w:r>
      <w:r w:rsidR="00360E5E">
        <w:rPr>
          <w:bCs/>
          <w:i/>
          <w:iCs/>
        </w:rPr>
        <w:t>ing</w:t>
      </w:r>
      <w:r w:rsidRPr="00810341">
        <w:rPr>
          <w:bCs/>
          <w:i/>
          <w:iCs/>
        </w:rPr>
        <w:t xml:space="preserve"> </w:t>
      </w:r>
      <w:r w:rsidR="00360E5E">
        <w:rPr>
          <w:bCs/>
          <w:i/>
          <w:iCs/>
        </w:rPr>
        <w:t>such</w:t>
      </w:r>
      <w:r w:rsidRPr="00810341">
        <w:rPr>
          <w:bCs/>
          <w:i/>
          <w:iCs/>
        </w:rPr>
        <w:t xml:space="preserve"> opinion</w:t>
      </w:r>
      <w:r w:rsidR="00360E5E">
        <w:rPr>
          <w:bCs/>
          <w:i/>
          <w:iCs/>
        </w:rPr>
        <w:t>s</w:t>
      </w:r>
      <w:r w:rsidRPr="00810341">
        <w:rPr>
          <w:bCs/>
          <w:i/>
          <w:iCs/>
        </w:rPr>
        <w:t xml:space="preserve">.  </w:t>
      </w:r>
    </w:p>
    <w:p w14:paraId="30A39F95" w14:textId="0D2434DC" w:rsidR="00B14BF7" w:rsidRDefault="00B14BF7" w:rsidP="00B14BF7">
      <w:pPr>
        <w:pStyle w:val="Body"/>
        <w:spacing w:before="240"/>
        <w:rPr>
          <w:rStyle w:val="Italic"/>
        </w:rPr>
      </w:pPr>
      <w:r>
        <w:rPr>
          <w:rStyle w:val="Italic"/>
        </w:rPr>
        <w:t xml:space="preserve">References in the footnotes </w:t>
      </w:r>
      <w:r w:rsidR="005F26F0">
        <w:rPr>
          <w:rStyle w:val="Italic"/>
        </w:rPr>
        <w:t xml:space="preserve">of this </w:t>
      </w:r>
      <w:r w:rsidR="00360E5E">
        <w:rPr>
          <w:rStyle w:val="Italic"/>
        </w:rPr>
        <w:t>checklist</w:t>
      </w:r>
      <w:r w:rsidR="005F26F0">
        <w:rPr>
          <w:rStyle w:val="Italic"/>
        </w:rPr>
        <w:t xml:space="preserve"> </w:t>
      </w:r>
      <w:r>
        <w:rPr>
          <w:rStyle w:val="Italic"/>
        </w:rPr>
        <w:t>are to:</w:t>
      </w:r>
    </w:p>
    <w:p w14:paraId="102DD3D3" w14:textId="77777777" w:rsidR="00B14BF7" w:rsidRDefault="00B14BF7" w:rsidP="00B14BF7">
      <w:pPr>
        <w:pStyle w:val="Body"/>
        <w:numPr>
          <w:ilvl w:val="0"/>
          <w:numId w:val="22"/>
        </w:numPr>
        <w:spacing w:before="240"/>
        <w:rPr>
          <w:rStyle w:val="Italic"/>
        </w:rPr>
      </w:pPr>
      <w:r>
        <w:rPr>
          <w:rStyle w:val="Italic"/>
        </w:rPr>
        <w:t>The CLE BC Practice Manual “Advising British Columbia Businesses”, by Kendall E. Andersen et al., 2020 Update (“</w:t>
      </w:r>
      <w:r w:rsidRPr="001A1BE2">
        <w:rPr>
          <w:rStyle w:val="Italic"/>
          <w:b/>
          <w:bCs/>
        </w:rPr>
        <w:t>Advising BC Businesses</w:t>
      </w:r>
      <w:r>
        <w:rPr>
          <w:rStyle w:val="Italic"/>
        </w:rPr>
        <w:t>”)</w:t>
      </w:r>
    </w:p>
    <w:p w14:paraId="4923FE13" w14:textId="13D26219" w:rsidR="00B14BF7" w:rsidRDefault="00B14BF7" w:rsidP="00B14BF7">
      <w:pPr>
        <w:pStyle w:val="Body"/>
        <w:numPr>
          <w:ilvl w:val="0"/>
          <w:numId w:val="22"/>
        </w:numPr>
        <w:spacing w:before="240"/>
        <w:rPr>
          <w:rStyle w:val="Italic"/>
        </w:rPr>
      </w:pPr>
      <w:r w:rsidRPr="0074518B">
        <w:rPr>
          <w:rStyle w:val="Italic"/>
        </w:rPr>
        <w:t xml:space="preserve">“Legal Opinions in Commercial Transactions”, by Wilfred M. Estey, </w:t>
      </w:r>
      <w:r w:rsidR="00360E5E">
        <w:rPr>
          <w:rStyle w:val="Italic"/>
        </w:rPr>
        <w:t>4</w:t>
      </w:r>
      <w:r w:rsidR="00360E5E" w:rsidRPr="00360E5E">
        <w:rPr>
          <w:rStyle w:val="Italic"/>
          <w:vertAlign w:val="superscript"/>
        </w:rPr>
        <w:t>th</w:t>
      </w:r>
      <w:r w:rsidR="00360E5E">
        <w:rPr>
          <w:rStyle w:val="Italic"/>
        </w:rPr>
        <w:t xml:space="preserve"> </w:t>
      </w:r>
      <w:r w:rsidRPr="0074518B">
        <w:rPr>
          <w:rStyle w:val="Italic"/>
        </w:rPr>
        <w:t>Edition, 20</w:t>
      </w:r>
      <w:r w:rsidR="00360E5E">
        <w:rPr>
          <w:rStyle w:val="Italic"/>
        </w:rPr>
        <w:t>22</w:t>
      </w:r>
      <w:r>
        <w:rPr>
          <w:rStyle w:val="Italic"/>
        </w:rPr>
        <w:t xml:space="preserve"> (“</w:t>
      </w:r>
      <w:r w:rsidRPr="001A1BE2">
        <w:rPr>
          <w:rStyle w:val="Italic"/>
          <w:b/>
          <w:bCs/>
        </w:rPr>
        <w:t>Estey</w:t>
      </w:r>
      <w:r>
        <w:rPr>
          <w:rStyle w:val="Italic"/>
        </w:rPr>
        <w:t>”)</w:t>
      </w:r>
    </w:p>
    <w:p w14:paraId="04D6F021" w14:textId="77777777" w:rsidR="00B14BF7" w:rsidRDefault="00B14BF7" w:rsidP="00B14BF7">
      <w:pPr>
        <w:pStyle w:val="Body"/>
        <w:numPr>
          <w:ilvl w:val="0"/>
          <w:numId w:val="22"/>
        </w:numPr>
        <w:spacing w:before="240"/>
        <w:rPr>
          <w:rStyle w:val="Italic"/>
        </w:rPr>
      </w:pPr>
      <w:r>
        <w:rPr>
          <w:rStyle w:val="Italic"/>
        </w:rPr>
        <w:t>British Columbia Business Corporations Act, SBC 2002, c 57 (“</w:t>
      </w:r>
      <w:r w:rsidRPr="001A1BE2">
        <w:rPr>
          <w:rStyle w:val="Italic"/>
          <w:b/>
          <w:bCs/>
        </w:rPr>
        <w:t>BCBCA</w:t>
      </w:r>
      <w:r>
        <w:rPr>
          <w:rStyle w:val="Italic"/>
        </w:rPr>
        <w:t>”)</w:t>
      </w:r>
    </w:p>
    <w:p w14:paraId="44C6D191" w14:textId="2E845E09" w:rsidR="00B14BF7" w:rsidRDefault="00F80B97" w:rsidP="00B14BF7">
      <w:pPr>
        <w:pStyle w:val="Body"/>
      </w:pPr>
      <w:r>
        <w:t xml:space="preserve">When reviewing the underlying due diligence, solicitors may find it useful to </w:t>
      </w:r>
      <w:r w:rsidR="00EB686A">
        <w:t xml:space="preserve">list out </w:t>
      </w:r>
      <w:r>
        <w:t xml:space="preserve">for reference and to have </w:t>
      </w:r>
      <w:r w:rsidR="00EB686A">
        <w:t xml:space="preserve">on hand </w:t>
      </w:r>
      <w:r>
        <w:t>t</w:t>
      </w:r>
      <w:r w:rsidRPr="00E4243D">
        <w:t>he</w:t>
      </w:r>
      <w:r>
        <w:t xml:space="preserve"> specific documents upon which they will be opining, and which comprise the</w:t>
      </w:r>
      <w:r w:rsidRPr="00E4243D">
        <w:t xml:space="preserve"> “</w:t>
      </w:r>
      <w:r w:rsidRPr="00127593">
        <w:rPr>
          <w:b/>
        </w:rPr>
        <w:t>Documents</w:t>
      </w:r>
      <w:r w:rsidRPr="00E4243D">
        <w:t>”</w:t>
      </w:r>
      <w:r>
        <w:t xml:space="preserve"> referred to in the checklist below</w:t>
      </w:r>
      <w:r w:rsidR="00B14BF7" w:rsidRPr="00E4243D">
        <w:t>:</w:t>
      </w:r>
      <w:r w:rsidR="00B14BF7">
        <w:rPr>
          <w:rStyle w:val="FootnoteReference"/>
        </w:rPr>
        <w:footnoteReference w:id="1"/>
      </w:r>
    </w:p>
    <w:p w14:paraId="1A628EA1" w14:textId="7AED3680" w:rsidR="00B14BF7" w:rsidRDefault="00B14BF7" w:rsidP="00B14BF7">
      <w:pPr>
        <w:pStyle w:val="Indent"/>
        <w:numPr>
          <w:ilvl w:val="0"/>
          <w:numId w:val="20"/>
        </w:numPr>
      </w:pPr>
      <w:r w:rsidRPr="00E4243D">
        <w:t>[list</w:t>
      </w:r>
      <w:r>
        <w:t xml:space="preserve"> documents</w:t>
      </w:r>
      <w:r w:rsidRPr="00E4243D">
        <w:t>]</w:t>
      </w:r>
    </w:p>
    <w:p w14:paraId="5A44FF3A" w14:textId="77777777" w:rsidR="005F26F0" w:rsidRDefault="005F26F0" w:rsidP="005F26F0">
      <w:pPr>
        <w:pStyle w:val="Indent"/>
        <w:numPr>
          <w:ilvl w:val="0"/>
          <w:numId w:val="20"/>
        </w:numPr>
      </w:pPr>
      <w:r w:rsidRPr="00E4243D">
        <w:t>[list</w:t>
      </w:r>
      <w:r>
        <w:t xml:space="preserve"> documents</w:t>
      </w:r>
      <w:r w:rsidRPr="00E4243D">
        <w:t>]</w:t>
      </w:r>
    </w:p>
    <w:p w14:paraId="24004584" w14:textId="77777777" w:rsidR="005F26F0" w:rsidRDefault="005F26F0" w:rsidP="005F26F0">
      <w:pPr>
        <w:pStyle w:val="Indent"/>
        <w:numPr>
          <w:ilvl w:val="0"/>
          <w:numId w:val="20"/>
        </w:numPr>
      </w:pPr>
      <w:r w:rsidRPr="00E4243D">
        <w:t>[list</w:t>
      </w:r>
      <w:r>
        <w:t xml:space="preserve"> documents</w:t>
      </w:r>
      <w:r w:rsidRPr="00E4243D">
        <w:t>]</w:t>
      </w:r>
    </w:p>
    <w:p w14:paraId="39778C94" w14:textId="77777777" w:rsidR="005F26F0" w:rsidRDefault="005F26F0" w:rsidP="005F26F0">
      <w:pPr>
        <w:pStyle w:val="Indent"/>
        <w:numPr>
          <w:ilvl w:val="0"/>
          <w:numId w:val="20"/>
        </w:numPr>
      </w:pPr>
      <w:r w:rsidRPr="00E4243D">
        <w:t>[list</w:t>
      </w:r>
      <w:r>
        <w:t xml:space="preserve"> documents</w:t>
      </w:r>
      <w:r w:rsidRPr="00E4243D">
        <w:t>]</w:t>
      </w:r>
    </w:p>
    <w:p w14:paraId="3A58E960" w14:textId="77777777" w:rsidR="005F26F0" w:rsidRDefault="005F26F0" w:rsidP="005F26F0">
      <w:pPr>
        <w:pStyle w:val="Indent"/>
        <w:numPr>
          <w:ilvl w:val="0"/>
          <w:numId w:val="20"/>
        </w:numPr>
      </w:pPr>
      <w:r w:rsidRPr="00E4243D">
        <w:t>[list</w:t>
      </w:r>
      <w:r>
        <w:t xml:space="preserve"> documents</w:t>
      </w:r>
      <w:r w:rsidRPr="00E4243D">
        <w:t>]</w:t>
      </w:r>
    </w:p>
    <w:p w14:paraId="7950CAAD" w14:textId="331D3E0C" w:rsidR="005F26F0" w:rsidRDefault="005F26F0">
      <w:pPr>
        <w:spacing w:after="0"/>
      </w:pPr>
      <w:r>
        <w:br w:type="page"/>
      </w:r>
    </w:p>
    <w:p w14:paraId="03E21520" w14:textId="77777777" w:rsidR="005F26F0" w:rsidRDefault="005F26F0" w:rsidP="005F26F0">
      <w:pPr>
        <w:pStyle w:val="Indent"/>
        <w:ind w:left="1440"/>
      </w:pPr>
    </w:p>
    <w:tbl>
      <w:tblPr>
        <w:tblStyle w:val="TableGrid"/>
        <w:tblW w:w="11070" w:type="dxa"/>
        <w:tblInd w:w="-815" w:type="dxa"/>
        <w:tblLook w:val="04A0" w:firstRow="1" w:lastRow="0" w:firstColumn="1" w:lastColumn="0" w:noHBand="0" w:noVBand="1"/>
      </w:tblPr>
      <w:tblGrid>
        <w:gridCol w:w="3384"/>
        <w:gridCol w:w="3816"/>
        <w:gridCol w:w="3870"/>
      </w:tblGrid>
      <w:tr w:rsidR="00B14BF7" w:rsidRPr="002A58B4" w14:paraId="274F610A" w14:textId="77777777" w:rsidTr="00C85CB1">
        <w:trPr>
          <w:tblHeader/>
        </w:trPr>
        <w:tc>
          <w:tcPr>
            <w:tcW w:w="3384" w:type="dxa"/>
            <w:tcBorders>
              <w:bottom w:val="single" w:sz="4" w:space="0" w:color="auto"/>
            </w:tcBorders>
          </w:tcPr>
          <w:p w14:paraId="52067FFE" w14:textId="77777777" w:rsidR="00B14BF7" w:rsidRPr="002A58B4" w:rsidRDefault="00B14BF7" w:rsidP="00CC4D04">
            <w:pPr>
              <w:pStyle w:val="TableHeadingLeft"/>
            </w:pPr>
            <w:r w:rsidRPr="002A58B4">
              <w:t>Opinion Given</w:t>
            </w:r>
          </w:p>
        </w:tc>
        <w:tc>
          <w:tcPr>
            <w:tcW w:w="3816" w:type="dxa"/>
            <w:tcBorders>
              <w:bottom w:val="single" w:sz="4" w:space="0" w:color="auto"/>
            </w:tcBorders>
          </w:tcPr>
          <w:p w14:paraId="5E691461" w14:textId="77777777" w:rsidR="00B14BF7" w:rsidRPr="002A58B4" w:rsidRDefault="00B14BF7" w:rsidP="00CC4D04">
            <w:pPr>
              <w:pStyle w:val="TableHeadingLeft"/>
            </w:pPr>
            <w:r w:rsidRPr="00E4243D">
              <w:t>What to Consider to Give Opinion</w:t>
            </w:r>
          </w:p>
        </w:tc>
        <w:tc>
          <w:tcPr>
            <w:tcW w:w="3870" w:type="dxa"/>
            <w:tcBorders>
              <w:bottom w:val="single" w:sz="4" w:space="0" w:color="auto"/>
            </w:tcBorders>
          </w:tcPr>
          <w:p w14:paraId="003FB6AB" w14:textId="75E30CE8" w:rsidR="00B14BF7" w:rsidRPr="002A58B4" w:rsidRDefault="00B14BF7" w:rsidP="00CC4D04">
            <w:pPr>
              <w:pStyle w:val="TableHeadingLeft"/>
            </w:pPr>
            <w:r w:rsidRPr="002A58B4">
              <w:t>Status</w:t>
            </w:r>
            <w:r>
              <w:t>/Comments/References/Notes</w:t>
            </w:r>
            <w:r w:rsidR="002F55D6">
              <w:t xml:space="preserve"> </w:t>
            </w:r>
            <w:r w:rsidR="002F55D6" w:rsidRPr="002F55D6">
              <w:rPr>
                <w:b w:val="0"/>
                <w:bCs/>
                <w:i/>
                <w:iCs/>
                <w:sz w:val="16"/>
                <w:szCs w:val="16"/>
              </w:rPr>
              <w:t>(i.e. date of Certificate of Good Standing, sections of Articles, statutes, date of resolutions, etc.)</w:t>
            </w:r>
          </w:p>
        </w:tc>
      </w:tr>
      <w:tr w:rsidR="00B14BF7" w:rsidRPr="002A58B4" w14:paraId="027A1A12" w14:textId="77777777" w:rsidTr="002F55D6">
        <w:tc>
          <w:tcPr>
            <w:tcW w:w="3384" w:type="dxa"/>
            <w:tcBorders>
              <w:bottom w:val="single" w:sz="4" w:space="0" w:color="auto"/>
            </w:tcBorders>
          </w:tcPr>
          <w:p w14:paraId="2B4A88D7" w14:textId="77777777" w:rsidR="00B14BF7" w:rsidRPr="002A58B4" w:rsidRDefault="00B14BF7" w:rsidP="00C85CB1">
            <w:pPr>
              <w:pStyle w:val="Table-NumL1"/>
              <w:keepNext/>
            </w:pPr>
            <w:r w:rsidRPr="00E4243D">
              <w:t>Corporate Status</w:t>
            </w:r>
            <w:r w:rsidRPr="00D103B2">
              <w:rPr>
                <w:rStyle w:val="FootnoteReference"/>
                <w:u w:val="none"/>
              </w:rPr>
              <w:footnoteReference w:id="2"/>
            </w:r>
          </w:p>
        </w:tc>
        <w:tc>
          <w:tcPr>
            <w:tcW w:w="3816" w:type="dxa"/>
            <w:tcBorders>
              <w:bottom w:val="single" w:sz="4" w:space="0" w:color="auto"/>
            </w:tcBorders>
          </w:tcPr>
          <w:p w14:paraId="6570578D" w14:textId="77777777" w:rsidR="00B14BF7" w:rsidRPr="002A58B4" w:rsidRDefault="00B14BF7" w:rsidP="00CC4D04">
            <w:pPr>
              <w:pStyle w:val="TableText"/>
            </w:pPr>
          </w:p>
        </w:tc>
        <w:tc>
          <w:tcPr>
            <w:tcW w:w="3870" w:type="dxa"/>
            <w:tcBorders>
              <w:bottom w:val="single" w:sz="4" w:space="0" w:color="auto"/>
            </w:tcBorders>
          </w:tcPr>
          <w:p w14:paraId="21DBA5F3" w14:textId="77777777" w:rsidR="00B14BF7" w:rsidRPr="00810341" w:rsidRDefault="00B14BF7" w:rsidP="00CC4D04">
            <w:pPr>
              <w:pStyle w:val="TableText"/>
            </w:pPr>
          </w:p>
        </w:tc>
      </w:tr>
      <w:tr w:rsidR="00B14BF7" w:rsidRPr="002A58B4" w14:paraId="3B2237E9" w14:textId="77777777" w:rsidTr="002F55D6">
        <w:tc>
          <w:tcPr>
            <w:tcW w:w="3384" w:type="dxa"/>
            <w:tcBorders>
              <w:top w:val="single" w:sz="4" w:space="0" w:color="auto"/>
            </w:tcBorders>
          </w:tcPr>
          <w:p w14:paraId="2D71B029" w14:textId="3A40FECB" w:rsidR="003F2D35" w:rsidRDefault="00B14BF7" w:rsidP="003F2D35">
            <w:pPr>
              <w:pStyle w:val="TableText"/>
            </w:pPr>
            <w:r w:rsidRPr="00704A43">
              <w:t xml:space="preserve">The </w:t>
            </w:r>
            <w:r w:rsidR="001A1BE2">
              <w:t>Corporation</w:t>
            </w:r>
            <w:r w:rsidRPr="00704A43">
              <w:t xml:space="preserve"> </w:t>
            </w:r>
            <w:r>
              <w:t>was</w:t>
            </w:r>
            <w:r w:rsidR="004011FB">
              <w:t xml:space="preserve"> </w:t>
            </w:r>
            <w:r w:rsidR="004011FB" w:rsidRPr="006F066B">
              <w:rPr>
                <w:rStyle w:val="BoldU"/>
                <w:i/>
              </w:rPr>
              <w:t>[incorporated / amalgamated /continued into British Columbia from the jurisdiction of [x]</w:t>
            </w:r>
            <w:r w:rsidR="004011FB" w:rsidRPr="00D103B2">
              <w:rPr>
                <w:rStyle w:val="FootnoteReference"/>
                <w:bCs/>
                <w:iCs/>
              </w:rPr>
              <w:footnoteReference w:id="3"/>
            </w:r>
            <w:r w:rsidR="004011FB" w:rsidRPr="00704A43">
              <w:t xml:space="preserve"> </w:t>
            </w:r>
            <w:r w:rsidR="004011FB">
              <w:t>as a company under the laws of the Province of British Columbia,</w:t>
            </w:r>
            <w:r w:rsidR="004011FB">
              <w:rPr>
                <w:rStyle w:val="FootnoteReference"/>
              </w:rPr>
              <w:t xml:space="preserve"> </w:t>
            </w:r>
            <w:r w:rsidR="004011FB">
              <w:rPr>
                <w:rStyle w:val="FootnoteReference"/>
              </w:rPr>
              <w:footnoteReference w:id="4"/>
            </w:r>
            <w:r w:rsidR="004011FB">
              <w:t xml:space="preserve"> is a valid and existing company and </w:t>
            </w:r>
            <w:r w:rsidR="004011FB" w:rsidRPr="00DD2A31">
              <w:t>is, with respect to the filing of</w:t>
            </w:r>
            <w:r w:rsidR="004011FB">
              <w:t xml:space="preserve"> annual reports with the Companies Office</w:t>
            </w:r>
            <w:r w:rsidR="004011FB">
              <w:rPr>
                <w:rStyle w:val="FootnoteReference"/>
              </w:rPr>
              <w:footnoteReference w:id="5"/>
            </w:r>
            <w:r w:rsidR="004011FB">
              <w:t>, in good standing</w:t>
            </w:r>
          </w:p>
          <w:p w14:paraId="2D2D940B" w14:textId="77777777" w:rsidR="003F2D35" w:rsidRPr="003F2D35" w:rsidRDefault="003F2D35" w:rsidP="003F2D35">
            <w:pPr>
              <w:pStyle w:val="TableText"/>
              <w:jc w:val="both"/>
            </w:pPr>
          </w:p>
          <w:p w14:paraId="0F87C6CC" w14:textId="7F09FED9" w:rsidR="003F2D35" w:rsidRPr="003F2D35" w:rsidRDefault="003F2D35" w:rsidP="003F2D35">
            <w:pPr>
              <w:pStyle w:val="TableText"/>
              <w:jc w:val="both"/>
            </w:pPr>
            <w:r w:rsidRPr="003F2D35">
              <w:rPr>
                <w:i/>
              </w:rPr>
              <w:t xml:space="preserve">[or, if Corporation is a CBCA corporation… the Corporation exists as a corporation under the Canada Business Corporations Act, has </w:t>
            </w:r>
            <w:r w:rsidR="005D44B6">
              <w:rPr>
                <w:i/>
              </w:rPr>
              <w:t>filed the</w:t>
            </w:r>
            <w:r w:rsidRPr="003F2D35">
              <w:rPr>
                <w:i/>
              </w:rPr>
              <w:t xml:space="preserve"> required annual returns</w:t>
            </w:r>
            <w:r w:rsidR="005D44B6">
              <w:rPr>
                <w:i/>
              </w:rPr>
              <w:t xml:space="preserve"> and has paid all prescribed fees required</w:t>
            </w:r>
            <w:r w:rsidRPr="003F2D35">
              <w:rPr>
                <w:i/>
              </w:rPr>
              <w:t xml:space="preserve"> </w:t>
            </w:r>
            <w:r w:rsidR="005D44B6">
              <w:rPr>
                <w:i/>
              </w:rPr>
              <w:t xml:space="preserve">[and if applicable: </w:t>
            </w:r>
            <w:r w:rsidRPr="003F2D35">
              <w:rPr>
                <w:i/>
              </w:rPr>
              <w:t>is registered as an extra-provincial company under the Business Corporations Act (British Columbia), and is, with respect to the filing of annual reports</w:t>
            </w:r>
            <w:r w:rsidR="008043C8">
              <w:rPr>
                <w:i/>
              </w:rPr>
              <w:t xml:space="preserve"> in British Columbia</w:t>
            </w:r>
            <w:r w:rsidRPr="003F2D35">
              <w:rPr>
                <w:i/>
              </w:rPr>
              <w:t>, in good standing with the Companies Office]</w:t>
            </w:r>
          </w:p>
          <w:p w14:paraId="2146E042" w14:textId="24361073" w:rsidR="00B14BF7" w:rsidRPr="002A58B4" w:rsidRDefault="00B14BF7" w:rsidP="00CC4D04">
            <w:pPr>
              <w:pStyle w:val="TableText"/>
            </w:pPr>
          </w:p>
        </w:tc>
        <w:tc>
          <w:tcPr>
            <w:tcW w:w="3816" w:type="dxa"/>
            <w:tcBorders>
              <w:top w:val="single" w:sz="4" w:space="0" w:color="auto"/>
            </w:tcBorders>
          </w:tcPr>
          <w:p w14:paraId="371614E7" w14:textId="77777777" w:rsidR="00B14BF7" w:rsidRDefault="00B14BF7" w:rsidP="00CC4D04">
            <w:pPr>
              <w:pStyle w:val="Table-Bullet"/>
            </w:pPr>
            <w:r w:rsidRPr="00704A43">
              <w:t>Certificate of Incorporation / Amalgamation / Continuation, as appropriate</w:t>
            </w:r>
            <w:r>
              <w:rPr>
                <w:rStyle w:val="FootnoteReference"/>
              </w:rPr>
              <w:footnoteReference w:id="6"/>
            </w:r>
          </w:p>
          <w:p w14:paraId="652CB2FD" w14:textId="77777777" w:rsidR="00B14BF7" w:rsidRDefault="00B14BF7" w:rsidP="00CC4D04">
            <w:pPr>
              <w:pStyle w:val="Table-Bullet"/>
            </w:pPr>
            <w:r w:rsidRPr="00704A43">
              <w:t>Corporate search from BC Online</w:t>
            </w:r>
          </w:p>
          <w:p w14:paraId="7EDB8247" w14:textId="1E591099" w:rsidR="00B14BF7" w:rsidRDefault="00B14BF7" w:rsidP="00CC4D04">
            <w:pPr>
              <w:pStyle w:val="Table-Bullet"/>
            </w:pPr>
            <w:r w:rsidRPr="00704A43">
              <w:t>Certificate of Good Standing</w:t>
            </w:r>
          </w:p>
          <w:p w14:paraId="0747BE1F" w14:textId="38845E65" w:rsidR="003F2D35" w:rsidRDefault="003F2D35" w:rsidP="00CC4D04">
            <w:pPr>
              <w:pStyle w:val="Table-Bullet"/>
            </w:pPr>
            <w:r w:rsidRPr="00810341">
              <w:t xml:space="preserve">CBCA Certificate of </w:t>
            </w:r>
            <w:r w:rsidR="00D14868">
              <w:t>Compliance</w:t>
            </w:r>
          </w:p>
          <w:p w14:paraId="4621CCFD" w14:textId="4D1EEDBB" w:rsidR="003F2D35" w:rsidRPr="002A58B4" w:rsidRDefault="00B14BF7" w:rsidP="003F2D35">
            <w:pPr>
              <w:pStyle w:val="Table-Bullet"/>
            </w:pPr>
            <w:r w:rsidRPr="00B50F61">
              <w:t>Corporate Records / Officer’s Certificate</w:t>
            </w:r>
          </w:p>
        </w:tc>
        <w:tc>
          <w:tcPr>
            <w:tcW w:w="3870" w:type="dxa"/>
            <w:tcBorders>
              <w:top w:val="single" w:sz="4" w:space="0" w:color="auto"/>
            </w:tcBorders>
          </w:tcPr>
          <w:p w14:paraId="19C1CEAB" w14:textId="1EF706E1" w:rsidR="00B14BF7" w:rsidRPr="00810341" w:rsidRDefault="00B14BF7" w:rsidP="00CC4D04">
            <w:pPr>
              <w:pStyle w:val="TableText"/>
            </w:pPr>
          </w:p>
        </w:tc>
      </w:tr>
      <w:tr w:rsidR="00B14BF7" w:rsidRPr="002A58B4" w14:paraId="68CF0C2F" w14:textId="77777777" w:rsidTr="002F55D6">
        <w:tc>
          <w:tcPr>
            <w:tcW w:w="3384" w:type="dxa"/>
          </w:tcPr>
          <w:p w14:paraId="27EE33DE" w14:textId="77777777" w:rsidR="00B14BF7" w:rsidRPr="001F1AB8" w:rsidRDefault="00B14BF7" w:rsidP="00C85CB1">
            <w:pPr>
              <w:pStyle w:val="Table-NumL1"/>
              <w:keepNext/>
            </w:pPr>
            <w:r w:rsidRPr="000E2792">
              <w:t>Power and Capacity</w:t>
            </w:r>
            <w:r>
              <w:rPr>
                <w:rStyle w:val="FootnoteReference"/>
              </w:rPr>
              <w:footnoteReference w:id="7"/>
            </w:r>
          </w:p>
        </w:tc>
        <w:tc>
          <w:tcPr>
            <w:tcW w:w="3816" w:type="dxa"/>
          </w:tcPr>
          <w:p w14:paraId="784883D7" w14:textId="77777777" w:rsidR="00B14BF7" w:rsidRPr="00B50F61" w:rsidRDefault="00B14BF7" w:rsidP="00CC4D04">
            <w:pPr>
              <w:pStyle w:val="TableText"/>
              <w:keepNext/>
              <w:keepLines/>
            </w:pPr>
          </w:p>
        </w:tc>
        <w:tc>
          <w:tcPr>
            <w:tcW w:w="3870" w:type="dxa"/>
          </w:tcPr>
          <w:p w14:paraId="10F6D827" w14:textId="77777777" w:rsidR="00B14BF7" w:rsidRPr="00186473" w:rsidRDefault="00B14BF7" w:rsidP="00CC4D04">
            <w:pPr>
              <w:pStyle w:val="TableText"/>
              <w:keepNext/>
              <w:keepLines/>
            </w:pPr>
          </w:p>
        </w:tc>
      </w:tr>
      <w:tr w:rsidR="00B14BF7" w:rsidRPr="002A58B4" w14:paraId="085F6319" w14:textId="77777777" w:rsidTr="002F55D6">
        <w:tc>
          <w:tcPr>
            <w:tcW w:w="3384" w:type="dxa"/>
          </w:tcPr>
          <w:p w14:paraId="6A1353DE" w14:textId="4C4EB05B" w:rsidR="00B14BF7" w:rsidRPr="001F1AB8" w:rsidRDefault="00B14BF7" w:rsidP="00CC4D04">
            <w:pPr>
              <w:pStyle w:val="TableText"/>
            </w:pPr>
            <w:r w:rsidRPr="000E2792">
              <w:t xml:space="preserve">The </w:t>
            </w:r>
            <w:r w:rsidR="00AF7EA2">
              <w:t>Corporation</w:t>
            </w:r>
            <w:r w:rsidR="00AF7EA2" w:rsidRPr="00704A43">
              <w:t xml:space="preserve"> </w:t>
            </w:r>
            <w:r w:rsidRPr="000E2792">
              <w:t xml:space="preserve">has the corporate power and capacity </w:t>
            </w:r>
            <w:bookmarkStart w:id="0" w:name="_Hlk45715148"/>
            <w:r w:rsidRPr="000E2792">
              <w:t xml:space="preserve">to </w:t>
            </w:r>
            <w:bookmarkStart w:id="1" w:name="_Hlk45711243"/>
            <w:r>
              <w:t>enter into and perform its obligations under the Documents</w:t>
            </w:r>
            <w:r w:rsidR="005D44B6">
              <w:t xml:space="preserve"> to which it is a party</w:t>
            </w:r>
            <w:r>
              <w:t>.</w:t>
            </w:r>
            <w:bookmarkEnd w:id="0"/>
            <w:bookmarkEnd w:id="1"/>
          </w:p>
        </w:tc>
        <w:tc>
          <w:tcPr>
            <w:tcW w:w="3816" w:type="dxa"/>
          </w:tcPr>
          <w:p w14:paraId="028561F7" w14:textId="1E0AECF1" w:rsidR="00B14BF7" w:rsidRDefault="00B14BF7" w:rsidP="00CC4D04">
            <w:pPr>
              <w:pStyle w:val="Table-Bullet"/>
            </w:pPr>
            <w:r w:rsidRPr="000E2792">
              <w:t xml:space="preserve">Articles of the </w:t>
            </w:r>
            <w:r w:rsidR="00AF7EA2">
              <w:t>Corporation</w:t>
            </w:r>
            <w:r w:rsidR="00AF7EA2" w:rsidRPr="00704A43">
              <w:t xml:space="preserve"> </w:t>
            </w:r>
          </w:p>
          <w:p w14:paraId="520BECF0" w14:textId="4C654353" w:rsidR="00B14BF7" w:rsidRPr="00B50F61" w:rsidRDefault="00B14BF7" w:rsidP="00CC4D04">
            <w:pPr>
              <w:pStyle w:val="Table-Bullet"/>
            </w:pPr>
            <w:r w:rsidRPr="000E2792">
              <w:t>BCBCA</w:t>
            </w:r>
            <w:r w:rsidR="00B07718">
              <w:t xml:space="preserve"> / CBCA</w:t>
            </w:r>
          </w:p>
        </w:tc>
        <w:tc>
          <w:tcPr>
            <w:tcW w:w="3870" w:type="dxa"/>
          </w:tcPr>
          <w:p w14:paraId="2E8D9379" w14:textId="77777777" w:rsidR="00B14BF7" w:rsidRPr="00186473" w:rsidRDefault="00B14BF7" w:rsidP="00CC4D04">
            <w:pPr>
              <w:pStyle w:val="TableText"/>
            </w:pPr>
          </w:p>
        </w:tc>
      </w:tr>
      <w:tr w:rsidR="00B14BF7" w:rsidRPr="002A58B4" w14:paraId="51D8F967" w14:textId="77777777" w:rsidTr="002F55D6">
        <w:tc>
          <w:tcPr>
            <w:tcW w:w="3384" w:type="dxa"/>
          </w:tcPr>
          <w:p w14:paraId="30A99C27" w14:textId="77777777" w:rsidR="00B14BF7" w:rsidRPr="001A1BE2" w:rsidRDefault="00B14BF7" w:rsidP="00C85CB1">
            <w:pPr>
              <w:pStyle w:val="Table-NumL1"/>
              <w:keepNext/>
            </w:pPr>
            <w:r w:rsidRPr="001A1BE2">
              <w:lastRenderedPageBreak/>
              <w:t>Authorization</w:t>
            </w:r>
            <w:r w:rsidRPr="001A1BE2">
              <w:rPr>
                <w:rStyle w:val="FootnoteReference"/>
              </w:rPr>
              <w:footnoteReference w:id="8"/>
            </w:r>
          </w:p>
        </w:tc>
        <w:tc>
          <w:tcPr>
            <w:tcW w:w="3816" w:type="dxa"/>
          </w:tcPr>
          <w:p w14:paraId="75D84E45" w14:textId="77777777" w:rsidR="00B14BF7" w:rsidRPr="00B50F61" w:rsidRDefault="00B14BF7" w:rsidP="00CC4D04">
            <w:pPr>
              <w:pStyle w:val="TableText"/>
            </w:pPr>
          </w:p>
        </w:tc>
        <w:tc>
          <w:tcPr>
            <w:tcW w:w="3870" w:type="dxa"/>
          </w:tcPr>
          <w:p w14:paraId="063F9F90" w14:textId="77777777" w:rsidR="00B14BF7" w:rsidRPr="00186473" w:rsidRDefault="00B14BF7" w:rsidP="00CC4D04">
            <w:pPr>
              <w:pStyle w:val="TableText"/>
            </w:pPr>
          </w:p>
        </w:tc>
      </w:tr>
      <w:tr w:rsidR="00B14BF7" w:rsidRPr="002A58B4" w14:paraId="43E36F8F" w14:textId="77777777" w:rsidTr="002F55D6">
        <w:tc>
          <w:tcPr>
            <w:tcW w:w="3384" w:type="dxa"/>
          </w:tcPr>
          <w:p w14:paraId="0BE4D710" w14:textId="653F8748" w:rsidR="00B14BF7" w:rsidRPr="001F1AB8" w:rsidRDefault="00B14BF7" w:rsidP="00CC4D04">
            <w:pPr>
              <w:pStyle w:val="TableText"/>
            </w:pPr>
            <w:r w:rsidRPr="00C855F4">
              <w:t xml:space="preserve">The </w:t>
            </w:r>
            <w:r w:rsidR="00AF7EA2">
              <w:t>Corporation</w:t>
            </w:r>
            <w:r w:rsidR="00AF7EA2" w:rsidRPr="00704A43">
              <w:t xml:space="preserve"> </w:t>
            </w:r>
            <w:r w:rsidRPr="00C855F4">
              <w:t>has taken all necessary corporate action to authorize the execution, delivery and performance by it of the Documents.</w:t>
            </w:r>
          </w:p>
        </w:tc>
        <w:tc>
          <w:tcPr>
            <w:tcW w:w="3816" w:type="dxa"/>
          </w:tcPr>
          <w:p w14:paraId="651B30D7" w14:textId="543A0EAD" w:rsidR="00B14BF7" w:rsidRDefault="00B14BF7" w:rsidP="00CC4D04">
            <w:pPr>
              <w:pStyle w:val="Table-Bullet"/>
            </w:pPr>
            <w:r w:rsidRPr="00C855F4">
              <w:t>BCBCA</w:t>
            </w:r>
            <w:r w:rsidR="00B07718">
              <w:t xml:space="preserve"> /CBCA</w:t>
            </w:r>
          </w:p>
          <w:p w14:paraId="5F2D9281" w14:textId="1D082378" w:rsidR="00B14BF7" w:rsidRDefault="00B14BF7" w:rsidP="00CC4D04">
            <w:pPr>
              <w:pStyle w:val="Table-Bullet"/>
            </w:pPr>
            <w:r w:rsidRPr="00C855F4">
              <w:t xml:space="preserve">Articles of the </w:t>
            </w:r>
            <w:r w:rsidR="00AF7EA2">
              <w:t>Corporation</w:t>
            </w:r>
            <w:r w:rsidR="00AF7EA2" w:rsidRPr="00704A43">
              <w:t xml:space="preserve"> </w:t>
            </w:r>
            <w:r>
              <w:rPr>
                <w:rStyle w:val="FootnoteReference"/>
              </w:rPr>
              <w:footnoteReference w:id="9"/>
            </w:r>
          </w:p>
          <w:p w14:paraId="725A3601" w14:textId="77777777" w:rsidR="00B14BF7" w:rsidRDefault="00B14BF7" w:rsidP="00CC4D04">
            <w:pPr>
              <w:pStyle w:val="Table-Bullet"/>
            </w:pPr>
            <w:r w:rsidRPr="00C855F4">
              <w:t>Directors’ resolutions</w:t>
            </w:r>
          </w:p>
          <w:p w14:paraId="09D6A7B9" w14:textId="3AF6E32A" w:rsidR="00B14BF7" w:rsidRPr="00B50F61" w:rsidRDefault="00B14BF7" w:rsidP="00CC4D04">
            <w:pPr>
              <w:pStyle w:val="Table-Bullet"/>
            </w:pPr>
            <w:r w:rsidRPr="00C855F4">
              <w:t>Shareholders’ resolutions</w:t>
            </w:r>
            <w:r w:rsidR="00B07718">
              <w:t>, if required by the above</w:t>
            </w:r>
          </w:p>
        </w:tc>
        <w:tc>
          <w:tcPr>
            <w:tcW w:w="3870" w:type="dxa"/>
          </w:tcPr>
          <w:p w14:paraId="0AED124B" w14:textId="77777777" w:rsidR="00B14BF7" w:rsidRPr="00186473" w:rsidRDefault="00B14BF7" w:rsidP="00CC4D04">
            <w:pPr>
              <w:pStyle w:val="TableText"/>
            </w:pPr>
          </w:p>
        </w:tc>
      </w:tr>
      <w:tr w:rsidR="00B14BF7" w:rsidRPr="002A58B4" w14:paraId="760732D7" w14:textId="77777777" w:rsidTr="002F55D6">
        <w:tc>
          <w:tcPr>
            <w:tcW w:w="3384" w:type="dxa"/>
          </w:tcPr>
          <w:p w14:paraId="5407DA78" w14:textId="77777777" w:rsidR="00B14BF7" w:rsidRPr="001F1AB8" w:rsidRDefault="00B14BF7" w:rsidP="00CC4D04">
            <w:pPr>
              <w:pStyle w:val="Table-NumL1"/>
              <w:keepNext/>
              <w:keepLines/>
            </w:pPr>
            <w:r w:rsidRPr="00A74880">
              <w:t>Execution and Delivery</w:t>
            </w:r>
            <w:r>
              <w:rPr>
                <w:rStyle w:val="FootnoteReference"/>
              </w:rPr>
              <w:footnoteReference w:id="10"/>
            </w:r>
          </w:p>
        </w:tc>
        <w:tc>
          <w:tcPr>
            <w:tcW w:w="3816" w:type="dxa"/>
            <w:vMerge w:val="restart"/>
            <w:vAlign w:val="center"/>
          </w:tcPr>
          <w:p w14:paraId="4C54FFF1" w14:textId="77777777" w:rsidR="00B14BF7" w:rsidRDefault="00B14BF7" w:rsidP="00CC4D04">
            <w:pPr>
              <w:pStyle w:val="Table-Bullet"/>
            </w:pPr>
            <w:r w:rsidRPr="00570FDD">
              <w:t>Signed pages</w:t>
            </w:r>
          </w:p>
          <w:p w14:paraId="2E63F8F6" w14:textId="77777777" w:rsidR="00B14BF7" w:rsidRDefault="00B14BF7" w:rsidP="00CC4D04">
            <w:pPr>
              <w:pStyle w:val="Table-Bullet"/>
            </w:pPr>
            <w:r w:rsidRPr="00570FDD">
              <w:t>Officer</w:t>
            </w:r>
            <w:r>
              <w:t>’</w:t>
            </w:r>
            <w:r w:rsidRPr="00570FDD">
              <w:t>s Certificate — including incumbency language and intention to deliver</w:t>
            </w:r>
          </w:p>
          <w:p w14:paraId="1E4BC84B" w14:textId="159CBC6D" w:rsidR="002F52C7" w:rsidRPr="00B50F61" w:rsidRDefault="005B08EE" w:rsidP="002F52C7">
            <w:pPr>
              <w:pStyle w:val="Table-Bullet"/>
            </w:pPr>
            <w:r>
              <w:t xml:space="preserve">Satisfactory confirmation </w:t>
            </w:r>
            <w:r w:rsidR="002F52C7">
              <w:t>that</w:t>
            </w:r>
            <w:r>
              <w:t xml:space="preserve"> </w:t>
            </w:r>
            <w:r w:rsidR="002F52C7" w:rsidRPr="002F52C7">
              <w:t>the</w:t>
            </w:r>
            <w:r w:rsidR="002F52C7">
              <w:t xml:space="preserve"> executed Documents have</w:t>
            </w:r>
            <w:r w:rsidR="002F52C7" w:rsidRPr="002F52C7">
              <w:t xml:space="preserve"> been unconditionally delivered to the other party or parties thereto</w:t>
            </w:r>
          </w:p>
        </w:tc>
        <w:tc>
          <w:tcPr>
            <w:tcW w:w="3870" w:type="dxa"/>
            <w:vMerge w:val="restart"/>
          </w:tcPr>
          <w:p w14:paraId="5C4FA203" w14:textId="77777777" w:rsidR="00B14BF7" w:rsidRPr="00186473" w:rsidRDefault="00B14BF7" w:rsidP="00CC4D04">
            <w:pPr>
              <w:pStyle w:val="TableText"/>
            </w:pPr>
          </w:p>
        </w:tc>
      </w:tr>
      <w:tr w:rsidR="00445A17" w:rsidRPr="002A58B4" w14:paraId="0DC10691" w14:textId="77777777" w:rsidTr="002F55D6">
        <w:trPr>
          <w:trHeight w:val="1530"/>
        </w:trPr>
        <w:tc>
          <w:tcPr>
            <w:tcW w:w="3384" w:type="dxa"/>
          </w:tcPr>
          <w:p w14:paraId="0D365593" w14:textId="4639866D" w:rsidR="00445A17" w:rsidRPr="001F1AB8" w:rsidRDefault="00445A17" w:rsidP="00CC4D04">
            <w:pPr>
              <w:pStyle w:val="TableText"/>
            </w:pPr>
            <w:r>
              <w:t>The Corporation</w:t>
            </w:r>
            <w:r w:rsidRPr="00704A43">
              <w:t xml:space="preserve"> </w:t>
            </w:r>
            <w:r>
              <w:t>has duly executed</w:t>
            </w:r>
            <w:r>
              <w:rPr>
                <w:rStyle w:val="FootnoteReference"/>
              </w:rPr>
              <w:footnoteReference w:id="11"/>
            </w:r>
            <w:r>
              <w:t xml:space="preserve"> and delivered</w:t>
            </w:r>
            <w:r>
              <w:rPr>
                <w:rStyle w:val="FootnoteReference"/>
              </w:rPr>
              <w:footnoteReference w:id="12"/>
            </w:r>
            <w:r>
              <w:t xml:space="preserve"> the Documents</w:t>
            </w:r>
            <w:r w:rsidR="005D44B6">
              <w:t xml:space="preserve"> to which it is a party</w:t>
            </w:r>
            <w:r w:rsidRPr="00A74880">
              <w:t>.</w:t>
            </w:r>
          </w:p>
        </w:tc>
        <w:tc>
          <w:tcPr>
            <w:tcW w:w="3816" w:type="dxa"/>
            <w:vMerge/>
            <w:vAlign w:val="center"/>
          </w:tcPr>
          <w:p w14:paraId="787D986E" w14:textId="77777777" w:rsidR="00445A17" w:rsidRPr="00B50F61" w:rsidRDefault="00445A17" w:rsidP="00CC4D04">
            <w:pPr>
              <w:pStyle w:val="Table-Bullet"/>
            </w:pPr>
          </w:p>
        </w:tc>
        <w:tc>
          <w:tcPr>
            <w:tcW w:w="3870" w:type="dxa"/>
            <w:vMerge/>
          </w:tcPr>
          <w:p w14:paraId="054D9E5D" w14:textId="77777777" w:rsidR="00445A17" w:rsidRPr="00186473" w:rsidRDefault="00445A17" w:rsidP="00CC4D04">
            <w:pPr>
              <w:pStyle w:val="TableText"/>
              <w:rPr>
                <w:b/>
                <w:u w:val="single"/>
              </w:rPr>
            </w:pPr>
          </w:p>
        </w:tc>
      </w:tr>
      <w:tr w:rsidR="00B14BF7" w:rsidRPr="002A58B4" w14:paraId="522E3430" w14:textId="77777777" w:rsidTr="002F55D6">
        <w:tc>
          <w:tcPr>
            <w:tcW w:w="3384" w:type="dxa"/>
          </w:tcPr>
          <w:p w14:paraId="295E4B2B" w14:textId="77777777" w:rsidR="00B14BF7" w:rsidRPr="008376FD" w:rsidRDefault="00B14BF7" w:rsidP="00C85CB1">
            <w:pPr>
              <w:pStyle w:val="Table-NumL1"/>
              <w:keepNext/>
            </w:pPr>
            <w:r w:rsidRPr="00B813FC">
              <w:t>Legal, Valid and Binding</w:t>
            </w:r>
            <w:r>
              <w:rPr>
                <w:rStyle w:val="FootnoteReference"/>
              </w:rPr>
              <w:footnoteReference w:id="13"/>
            </w:r>
          </w:p>
        </w:tc>
        <w:tc>
          <w:tcPr>
            <w:tcW w:w="3816" w:type="dxa"/>
          </w:tcPr>
          <w:p w14:paraId="21767C4D" w14:textId="77777777" w:rsidR="00B14BF7" w:rsidRPr="00B50F61" w:rsidRDefault="00B14BF7" w:rsidP="00CC4D04">
            <w:pPr>
              <w:pStyle w:val="TableText"/>
            </w:pPr>
          </w:p>
        </w:tc>
        <w:tc>
          <w:tcPr>
            <w:tcW w:w="3870" w:type="dxa"/>
          </w:tcPr>
          <w:p w14:paraId="598B5AFB" w14:textId="77777777" w:rsidR="00B14BF7" w:rsidRPr="00186473" w:rsidRDefault="00B14BF7" w:rsidP="00CC4D04">
            <w:pPr>
              <w:pStyle w:val="TableText"/>
            </w:pPr>
          </w:p>
        </w:tc>
      </w:tr>
      <w:tr w:rsidR="00B14BF7" w:rsidRPr="002A58B4" w14:paraId="7AB73E42" w14:textId="77777777" w:rsidTr="002F55D6">
        <w:tc>
          <w:tcPr>
            <w:tcW w:w="3384" w:type="dxa"/>
          </w:tcPr>
          <w:p w14:paraId="5194E995" w14:textId="136B57B9" w:rsidR="00B14BF7" w:rsidRPr="008376FD" w:rsidRDefault="00C64665" w:rsidP="00CC4D04">
            <w:pPr>
              <w:pStyle w:val="TableText"/>
            </w:pPr>
            <w:r w:rsidRPr="00C64665">
              <w:t xml:space="preserve">Each Document </w:t>
            </w:r>
            <w:r w:rsidR="005D44B6">
              <w:t xml:space="preserve">to which the corporation is a party </w:t>
            </w:r>
            <w:r w:rsidRPr="00C64665">
              <w:t>constitutes a legal, valid and binding</w:t>
            </w:r>
            <w:r>
              <w:rPr>
                <w:rStyle w:val="FootnoteReference"/>
              </w:rPr>
              <w:footnoteReference w:id="14"/>
            </w:r>
            <w:r w:rsidRPr="00C64665">
              <w:t xml:space="preserve"> obligation of the Corporation, enforceable against the Corporation in accordance with its terms</w:t>
            </w:r>
            <w:r w:rsidR="008861C9">
              <w:t>.</w:t>
            </w:r>
            <w:r w:rsidR="008861C9">
              <w:rPr>
                <w:rStyle w:val="FootnoteReference"/>
              </w:rPr>
              <w:footnoteReference w:id="15"/>
            </w:r>
          </w:p>
        </w:tc>
        <w:tc>
          <w:tcPr>
            <w:tcW w:w="3816" w:type="dxa"/>
          </w:tcPr>
          <w:p w14:paraId="58D1D24B" w14:textId="511D5017" w:rsidR="00B14BF7" w:rsidRDefault="00B14BF7" w:rsidP="00CC4D04">
            <w:pPr>
              <w:pStyle w:val="Table-Bullet"/>
            </w:pPr>
            <w:r w:rsidRPr="00B813FC">
              <w:t xml:space="preserve">Review each </w:t>
            </w:r>
            <w:r w:rsidR="008043C8">
              <w:t>Document</w:t>
            </w:r>
            <w:r w:rsidRPr="00B813FC">
              <w:t xml:space="preserve"> term by term, section by section</w:t>
            </w:r>
          </w:p>
          <w:p w14:paraId="047D66EF" w14:textId="77777777" w:rsidR="00B14BF7" w:rsidRDefault="00B14BF7" w:rsidP="00CC4D04">
            <w:pPr>
              <w:pStyle w:val="Table-Bullet"/>
            </w:pPr>
            <w:r w:rsidRPr="00721AD9">
              <w:t>Agreements not contrary to law and within corporate capacity</w:t>
            </w:r>
          </w:p>
          <w:p w14:paraId="59E29093" w14:textId="77777777" w:rsidR="00B14BF7" w:rsidRDefault="00B14BF7" w:rsidP="00CC4D04">
            <w:pPr>
              <w:pStyle w:val="Table-Bullet"/>
            </w:pPr>
            <w:r w:rsidRPr="00721AD9">
              <w:t>Agreements not void or voidable at the election of any party or for uncertainty</w:t>
            </w:r>
          </w:p>
          <w:p w14:paraId="63D1489E" w14:textId="77777777" w:rsidR="00B14BF7" w:rsidRDefault="00B14BF7" w:rsidP="00CC4D04">
            <w:pPr>
              <w:pStyle w:val="Table-Bullet"/>
            </w:pPr>
            <w:r w:rsidRPr="00721AD9">
              <w:lastRenderedPageBreak/>
              <w:t>Must have offer, acceptance, capacity, consideration, execution, delivery</w:t>
            </w:r>
          </w:p>
          <w:p w14:paraId="6EDBC0D8" w14:textId="77777777" w:rsidR="00B14BF7" w:rsidRDefault="00B14BF7" w:rsidP="00CC4D04">
            <w:pPr>
              <w:pStyle w:val="Table-Bullet"/>
            </w:pPr>
            <w:r w:rsidRPr="00721AD9">
              <w:t>Agreements free from other vitiating elements such as mistake, misrepresentation, duress, undue influence</w:t>
            </w:r>
          </w:p>
          <w:p w14:paraId="7F820A70" w14:textId="3ACE252D" w:rsidR="00B14BF7" w:rsidRDefault="00B14BF7" w:rsidP="00CC4D04">
            <w:pPr>
              <w:pStyle w:val="Table-Bullet"/>
            </w:pPr>
            <w:r w:rsidRPr="00721AD9">
              <w:t xml:space="preserve">Consider any conditions </w:t>
            </w:r>
            <w:r w:rsidR="008043C8">
              <w:t xml:space="preserve">precedent </w:t>
            </w:r>
            <w:r w:rsidRPr="00721AD9">
              <w:t>in the agreements wholly or partially within the control of one of the parties</w:t>
            </w:r>
          </w:p>
          <w:p w14:paraId="3AD76126" w14:textId="354EFACA" w:rsidR="00B14BF7" w:rsidRDefault="00B14BF7" w:rsidP="00CC4D04">
            <w:pPr>
              <w:pStyle w:val="Table-Bullet"/>
            </w:pPr>
            <w:r w:rsidRPr="00721AD9">
              <w:t>Consider whether any concurrence or ruling or a third party or government ruling</w:t>
            </w:r>
            <w:r w:rsidR="008043C8">
              <w:t xml:space="preserve"> is required</w:t>
            </w:r>
          </w:p>
          <w:p w14:paraId="73B6CF62" w14:textId="77777777" w:rsidR="00B14BF7" w:rsidRDefault="00B14BF7" w:rsidP="00CC4D04">
            <w:pPr>
              <w:pStyle w:val="Table-Bullet"/>
            </w:pPr>
            <w:r>
              <w:t>Not contrary to public policy (especially non-competition agreements)</w:t>
            </w:r>
          </w:p>
          <w:p w14:paraId="473EE7F9" w14:textId="77777777" w:rsidR="00B14BF7" w:rsidRDefault="00B14BF7" w:rsidP="00CC4D04">
            <w:pPr>
              <w:pStyle w:val="Table-Bullet"/>
            </w:pPr>
            <w:r>
              <w:t xml:space="preserve">Insert qualifications as necessary re </w:t>
            </w:r>
            <w:r w:rsidRPr="00721AD9">
              <w:t>enforceability</w:t>
            </w:r>
          </w:p>
          <w:p w14:paraId="53562195" w14:textId="77777777" w:rsidR="00B14BF7" w:rsidRDefault="00B14BF7" w:rsidP="00CC4D04">
            <w:pPr>
              <w:pStyle w:val="Table-Bullet"/>
            </w:pPr>
            <w:r w:rsidRPr="00721AD9">
              <w:t>Identify a particular remedy available to a damaged party</w:t>
            </w:r>
          </w:p>
          <w:p w14:paraId="2A534113" w14:textId="64B63ADE" w:rsidR="00B14BF7" w:rsidRDefault="00B14BF7" w:rsidP="00C34543">
            <w:pPr>
              <w:pStyle w:val="Table-Bullet"/>
              <w:numPr>
                <w:ilvl w:val="1"/>
                <w:numId w:val="17"/>
              </w:numPr>
              <w:ind w:left="735"/>
            </w:pPr>
            <w:r w:rsidRPr="00721AD9">
              <w:t xml:space="preserve">If specific performance </w:t>
            </w:r>
            <w:r w:rsidR="008043C8">
              <w:t>or</w:t>
            </w:r>
            <w:r w:rsidRPr="00721AD9">
              <w:t xml:space="preserve"> damages are not available as a remedy then don’t give an opinion or qualify opinion</w:t>
            </w:r>
          </w:p>
          <w:p w14:paraId="56F4379D" w14:textId="77777777" w:rsidR="00B14BF7" w:rsidRPr="00B50F61" w:rsidRDefault="00B14BF7" w:rsidP="00CC4D04">
            <w:pPr>
              <w:pStyle w:val="Table-Bullet"/>
            </w:pPr>
            <w:r w:rsidRPr="00721AD9">
              <w:t>Consider arbitration clauses</w:t>
            </w:r>
          </w:p>
        </w:tc>
        <w:tc>
          <w:tcPr>
            <w:tcW w:w="3870" w:type="dxa"/>
          </w:tcPr>
          <w:p w14:paraId="72066756" w14:textId="77777777" w:rsidR="00B14BF7" w:rsidRPr="00C36D2A" w:rsidRDefault="00B14BF7" w:rsidP="00CC4D04">
            <w:pPr>
              <w:pStyle w:val="TableText"/>
              <w:rPr>
                <w:b/>
              </w:rPr>
            </w:pPr>
          </w:p>
        </w:tc>
      </w:tr>
    </w:tbl>
    <w:p w14:paraId="36D58522" w14:textId="77777777" w:rsidR="00874AAB" w:rsidRPr="00B14BF7" w:rsidRDefault="00874AAB" w:rsidP="00C85CB1"/>
    <w:sectPr w:rsidR="00874AAB" w:rsidRPr="00B14BF7" w:rsidSect="00620118">
      <w:footerReference w:type="default" r:id="rId8"/>
      <w:headerReference w:type="first" r:id="rId9"/>
      <w:footerReference w:type="first" r:id="rId10"/>
      <w:pgSz w:w="12240" w:h="15840" w:code="1"/>
      <w:pgMar w:top="1152" w:right="1440" w:bottom="1152"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5885A" w14:textId="77777777" w:rsidR="003F28C9" w:rsidRDefault="003F28C9">
      <w:pPr>
        <w:spacing w:after="0"/>
      </w:pPr>
      <w:r>
        <w:separator/>
      </w:r>
    </w:p>
  </w:endnote>
  <w:endnote w:type="continuationSeparator" w:id="0">
    <w:p w14:paraId="37C2975E" w14:textId="77777777" w:rsidR="003F28C9" w:rsidRDefault="003F28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49A5" w14:textId="77777777" w:rsidR="001A4DB6" w:rsidRDefault="003F28C9">
    <w:pPr>
      <w:pStyle w:val="Footer"/>
    </w:pPr>
    <w:r>
      <w:rPr>
        <w:noProof/>
      </w:rPr>
      <w:pict w14:anchorId="77C2287F">
        <v:shapetype id="_x0000_t202" coordsize="21600,21600" o:spt="202" path="m,l,21600r21600,l21600,xe">
          <v:stroke joinstyle="miter"/>
          <v:path gradientshapeok="t" o:connecttype="rect"/>
        </v:shapetype>
        <v:shape id="zzmpTrailer_1078_19" o:spid="_x0000_s2049"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6E988E04" w14:textId="641E4CC7" w:rsidR="001A4DB6" w:rsidRDefault="001A4DB6">
                <w:pPr>
                  <w:pStyle w:val="MacPacTrailer"/>
                </w:pPr>
                <w:r>
                  <w:t>LEGAL*56963507.4</w:t>
                </w:r>
              </w:p>
              <w:p w14:paraId="6D8D0F49" w14:textId="77F3BA2D" w:rsidR="001A4DB6" w:rsidRDefault="001A4DB6">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F58A" w14:textId="77777777" w:rsidR="001A4DB6" w:rsidRDefault="003F28C9">
    <w:pPr>
      <w:pStyle w:val="Footer"/>
    </w:pPr>
    <w:r>
      <w:rPr>
        <w:noProof/>
      </w:rPr>
      <w:pict w14:anchorId="12A04F7F">
        <v:shapetype id="_x0000_t202" coordsize="21600,21600" o:spt="202" path="m,l,21600r21600,l21600,xe">
          <v:stroke joinstyle="miter"/>
          <v:path gradientshapeok="t" o:connecttype="rect"/>
        </v:shapetype>
        <v:shape id="zzmpTrailer_1078_1B" o:spid="_x0000_s2050"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2B167116" w14:textId="769A7817" w:rsidR="001A4DB6" w:rsidRDefault="001A4DB6">
                <w:pPr>
                  <w:pStyle w:val="MacPacTrailer"/>
                </w:pPr>
                <w:r>
                  <w:t>LEGAL*56963507.4</w:t>
                </w:r>
              </w:p>
              <w:p w14:paraId="16FD2A71" w14:textId="65805524" w:rsidR="001A4DB6" w:rsidRDefault="001A4DB6">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EDFF7" w14:textId="77777777" w:rsidR="003F28C9" w:rsidRDefault="003F28C9" w:rsidP="00C85CB1">
      <w:pPr>
        <w:spacing w:before="240" w:after="0"/>
        <w:rPr>
          <w:noProof/>
        </w:rPr>
      </w:pPr>
      <w:r>
        <w:rPr>
          <w:noProof/>
        </w:rPr>
        <w:separator/>
      </w:r>
    </w:p>
  </w:footnote>
  <w:footnote w:type="continuationSeparator" w:id="0">
    <w:p w14:paraId="3754C0CF" w14:textId="77777777" w:rsidR="003F28C9" w:rsidRDefault="003F28C9">
      <w:pPr>
        <w:spacing w:after="0"/>
      </w:pPr>
      <w:r>
        <w:continuationSeparator/>
      </w:r>
    </w:p>
  </w:footnote>
  <w:footnote w:id="1">
    <w:p w14:paraId="4B8D1F48" w14:textId="4796BE49" w:rsidR="00B14BF7" w:rsidRDefault="00B14BF7" w:rsidP="00360E5E">
      <w:pPr>
        <w:spacing w:after="0"/>
      </w:pPr>
      <w:r w:rsidRPr="00DF1D62">
        <w:rPr>
          <w:rStyle w:val="FootnoteReference"/>
          <w:sz w:val="18"/>
          <w:szCs w:val="18"/>
        </w:rPr>
        <w:footnoteRef/>
      </w:r>
      <w:r w:rsidRPr="00DF1D62">
        <w:rPr>
          <w:sz w:val="18"/>
          <w:szCs w:val="18"/>
        </w:rPr>
        <w:t xml:space="preserve"> </w:t>
      </w:r>
      <w:r w:rsidRPr="00D9755D">
        <w:rPr>
          <w:i/>
          <w:iCs/>
          <w:sz w:val="18"/>
          <w:szCs w:val="18"/>
          <w:u w:val="single"/>
        </w:rPr>
        <w:t>Estey</w:t>
      </w:r>
      <w:r w:rsidRPr="00DF1D62">
        <w:rPr>
          <w:sz w:val="18"/>
          <w:szCs w:val="18"/>
        </w:rPr>
        <w:t xml:space="preserve">, pages </w:t>
      </w:r>
      <w:r w:rsidR="006C360D">
        <w:rPr>
          <w:sz w:val="18"/>
          <w:szCs w:val="18"/>
        </w:rPr>
        <w:t>88</w:t>
      </w:r>
      <w:r w:rsidRPr="00DF1D62">
        <w:rPr>
          <w:sz w:val="18"/>
          <w:szCs w:val="18"/>
        </w:rPr>
        <w:t>-</w:t>
      </w:r>
      <w:r w:rsidR="006C360D">
        <w:rPr>
          <w:sz w:val="18"/>
          <w:szCs w:val="18"/>
        </w:rPr>
        <w:t>96</w:t>
      </w:r>
      <w:r w:rsidRPr="00DF1D62">
        <w:rPr>
          <w:sz w:val="18"/>
          <w:szCs w:val="18"/>
        </w:rPr>
        <w:t xml:space="preserve">; </w:t>
      </w:r>
      <w:r w:rsidRPr="00D9755D">
        <w:rPr>
          <w:i/>
          <w:iCs/>
          <w:sz w:val="18"/>
          <w:szCs w:val="18"/>
        </w:rPr>
        <w:t>Advising BC Businesses</w:t>
      </w:r>
      <w:r w:rsidRPr="00DF1D62">
        <w:rPr>
          <w:sz w:val="18"/>
          <w:szCs w:val="18"/>
        </w:rPr>
        <w:t>, s. 7.21</w:t>
      </w:r>
      <w:r>
        <w:rPr>
          <w:sz w:val="18"/>
          <w:szCs w:val="18"/>
        </w:rPr>
        <w:t xml:space="preserve">: </w:t>
      </w:r>
      <w:r w:rsidRPr="00DF1D62">
        <w:rPr>
          <w:sz w:val="18"/>
          <w:szCs w:val="18"/>
        </w:rPr>
        <w:t>Consider what documents need to be reviewed or what investigations need to be done. It is likely that counsel receiving the opinion will object to a statement in an opinion that the opinion is based only the examination of certain documents. I</w:t>
      </w:r>
      <w:r w:rsidR="00EB686A">
        <w:rPr>
          <w:sz w:val="18"/>
          <w:szCs w:val="18"/>
        </w:rPr>
        <w:t>n the legal opinion, it</w:t>
      </w:r>
      <w:r w:rsidRPr="00DF1D62">
        <w:rPr>
          <w:sz w:val="18"/>
          <w:szCs w:val="18"/>
        </w:rPr>
        <w:t xml:space="preserve"> is preferable to list specific documents that were reviewed, as well as include a general statement to the effect that such other documents have been reviewed and such other investigations have been made as were considered necessary or appropriate.</w:t>
      </w:r>
      <w:r>
        <w:t xml:space="preserve"> </w:t>
      </w:r>
    </w:p>
  </w:footnote>
  <w:footnote w:id="2">
    <w:p w14:paraId="1669A4CC" w14:textId="539009D1" w:rsidR="00B14BF7" w:rsidRPr="005127A1" w:rsidRDefault="00B14BF7" w:rsidP="00B14BF7">
      <w:pPr>
        <w:pStyle w:val="FootnoteText"/>
        <w:rPr>
          <w:rStyle w:val="FootnoteReference"/>
          <w:rFonts w:cs="Arial"/>
          <w:sz w:val="22"/>
        </w:rPr>
      </w:pPr>
      <w:r w:rsidRPr="005127A1">
        <w:rPr>
          <w:rStyle w:val="FootnoteReference"/>
          <w:rFonts w:cs="Arial"/>
          <w:sz w:val="22"/>
        </w:rPr>
        <w:footnoteRef/>
      </w:r>
      <w:r w:rsidRPr="005127A1">
        <w:rPr>
          <w:rStyle w:val="FootnoteReference"/>
          <w:rFonts w:cs="Arial"/>
          <w:sz w:val="22"/>
        </w:rPr>
        <w:t xml:space="preserve"> </w:t>
      </w:r>
      <w:r w:rsidRPr="00D9755D">
        <w:rPr>
          <w:i/>
          <w:iCs/>
        </w:rPr>
        <w:t>Estey</w:t>
      </w:r>
      <w:r w:rsidRPr="006251FB">
        <w:t>, page</w:t>
      </w:r>
      <w:r w:rsidR="00031BC2">
        <w:t>s</w:t>
      </w:r>
      <w:r w:rsidRPr="006251FB">
        <w:t xml:space="preserve"> 1</w:t>
      </w:r>
      <w:r w:rsidR="00031BC2">
        <w:t>77-188</w:t>
      </w:r>
      <w:r>
        <w:t xml:space="preserve">; </w:t>
      </w:r>
      <w:r w:rsidRPr="00D9755D">
        <w:rPr>
          <w:i/>
          <w:iCs/>
        </w:rPr>
        <w:t>Advising BC Businesses</w:t>
      </w:r>
      <w:r>
        <w:t>, s. 7.24: T</w:t>
      </w:r>
      <w:r w:rsidRPr="006251FB">
        <w:t>he generally accepted custom and practice is to give an incorporation and existence opinion, together constituting the “corporate status opinion”, the purpose of which is to confirm that the corporation was created as a corporation and that it still exists</w:t>
      </w:r>
      <w:r>
        <w:t>.</w:t>
      </w:r>
    </w:p>
  </w:footnote>
  <w:footnote w:id="3">
    <w:p w14:paraId="1F6198CF" w14:textId="57D5709D" w:rsidR="004011FB" w:rsidRPr="005127A1" w:rsidRDefault="004011FB" w:rsidP="004011FB">
      <w:pPr>
        <w:pStyle w:val="FootnoteText"/>
        <w:rPr>
          <w:rStyle w:val="FootnoteReference"/>
          <w:rFonts w:cs="Arial"/>
          <w:sz w:val="22"/>
        </w:rPr>
      </w:pPr>
      <w:r w:rsidRPr="005127A1">
        <w:rPr>
          <w:rStyle w:val="FootnoteReference"/>
          <w:rFonts w:cs="Arial"/>
          <w:sz w:val="22"/>
        </w:rPr>
        <w:footnoteRef/>
      </w:r>
      <w:r w:rsidRPr="005127A1">
        <w:rPr>
          <w:rStyle w:val="FootnoteReference"/>
          <w:rFonts w:cs="Arial"/>
          <w:sz w:val="22"/>
        </w:rPr>
        <w:t xml:space="preserve"> </w:t>
      </w:r>
      <w:r w:rsidRPr="00D9755D">
        <w:rPr>
          <w:i/>
          <w:iCs/>
        </w:rPr>
        <w:t>Estey</w:t>
      </w:r>
      <w:r w:rsidRPr="006251FB">
        <w:t>, page</w:t>
      </w:r>
      <w:r w:rsidR="00031BC2">
        <w:t>s</w:t>
      </w:r>
      <w:r w:rsidRPr="006251FB">
        <w:t xml:space="preserve"> </w:t>
      </w:r>
      <w:r w:rsidR="00031BC2" w:rsidRPr="00031BC2">
        <w:t>177-188</w:t>
      </w:r>
      <w:r w:rsidRPr="006251FB">
        <w:t xml:space="preserve">; </w:t>
      </w:r>
      <w:r w:rsidRPr="00D9755D">
        <w:rPr>
          <w:i/>
          <w:iCs/>
        </w:rPr>
        <w:t>Advising BC Businesses</w:t>
      </w:r>
      <w:r w:rsidRPr="006251FB">
        <w:t>, s. 7.24.</w:t>
      </w:r>
    </w:p>
  </w:footnote>
  <w:footnote w:id="4">
    <w:p w14:paraId="56443032" w14:textId="41397025" w:rsidR="004011FB" w:rsidRPr="005127A1" w:rsidRDefault="004011FB" w:rsidP="004011FB">
      <w:pPr>
        <w:pStyle w:val="FootnoteText"/>
        <w:rPr>
          <w:rStyle w:val="FootnoteReference"/>
          <w:rFonts w:cs="Arial"/>
          <w:sz w:val="22"/>
        </w:rPr>
      </w:pPr>
      <w:r w:rsidRPr="005127A1">
        <w:rPr>
          <w:rStyle w:val="FootnoteReference"/>
          <w:rFonts w:cs="Arial"/>
          <w:sz w:val="22"/>
        </w:rPr>
        <w:footnoteRef/>
      </w:r>
      <w:r w:rsidRPr="005127A1">
        <w:rPr>
          <w:rStyle w:val="FootnoteReference"/>
          <w:rFonts w:cs="Arial"/>
          <w:sz w:val="22"/>
        </w:rPr>
        <w:t xml:space="preserve"> </w:t>
      </w:r>
      <w:r w:rsidRPr="00D9755D">
        <w:rPr>
          <w:i/>
          <w:iCs/>
        </w:rPr>
        <w:t>Estey</w:t>
      </w:r>
      <w:r w:rsidRPr="00910824">
        <w:t>, page</w:t>
      </w:r>
      <w:r w:rsidR="00031BC2">
        <w:t>s</w:t>
      </w:r>
      <w:r w:rsidR="00031BC2" w:rsidRPr="00031BC2">
        <w:t xml:space="preserve"> 191-197</w:t>
      </w:r>
      <w:r>
        <w:t xml:space="preserve">; </w:t>
      </w:r>
      <w:r w:rsidRPr="001B672C">
        <w:rPr>
          <w:i/>
          <w:iCs/>
        </w:rPr>
        <w:t>Advising BC Businesses</w:t>
      </w:r>
      <w:r>
        <w:t>, s. 7.25-7.26: This is a generally accepted statement, but when giving an opinion, one must understand what each part of the sentence means. In</w:t>
      </w:r>
      <w:r w:rsidRPr="00910824">
        <w:t xml:space="preserve"> some circumstances, only </w:t>
      </w:r>
      <w:r>
        <w:t>the</w:t>
      </w:r>
      <w:r w:rsidRPr="00910824">
        <w:t xml:space="preserve"> existence opinion may be given — and not an incorporation opinion, on the cost-benefit assessment of the value of receiving an incorporation opinion. However, see </w:t>
      </w:r>
      <w:r>
        <w:t>comment</w:t>
      </w:r>
      <w:r w:rsidRPr="00910824">
        <w:t xml:space="preserve"> on </w:t>
      </w:r>
      <w:r w:rsidRPr="001B672C">
        <w:rPr>
          <w:i/>
          <w:iCs/>
        </w:rPr>
        <w:t>BCBCA</w:t>
      </w:r>
      <w:r>
        <w:t xml:space="preserve"> </w:t>
      </w:r>
      <w:r w:rsidRPr="00910824">
        <w:t>in Note 7</w:t>
      </w:r>
      <w:r>
        <w:t>.</w:t>
      </w:r>
    </w:p>
  </w:footnote>
  <w:footnote w:id="5">
    <w:p w14:paraId="3A2A1EA6" w14:textId="756773A3" w:rsidR="004011FB" w:rsidRDefault="004011FB">
      <w:pPr>
        <w:pStyle w:val="FootnoteText"/>
      </w:pPr>
      <w:r>
        <w:rPr>
          <w:rStyle w:val="FootnoteReference"/>
        </w:rPr>
        <w:footnoteRef/>
      </w:r>
      <w:r w:rsidR="00140F72">
        <w:t xml:space="preserve"> The Term</w:t>
      </w:r>
      <w:r>
        <w:t xml:space="preserve"> </w:t>
      </w:r>
      <w:r w:rsidR="00140F72">
        <w:t>“Companies Office” is a defined term in the sample opinion prepared by the Solicitors’ Legal Opinions Committee, but note that this may be defined differently as “Office of the Registrar” etc. in any given opinion.</w:t>
      </w:r>
    </w:p>
  </w:footnote>
  <w:footnote w:id="6">
    <w:p w14:paraId="4595187C" w14:textId="77777777" w:rsidR="00B14BF7" w:rsidRPr="005127A1" w:rsidRDefault="00B14BF7" w:rsidP="00B14BF7">
      <w:pPr>
        <w:pStyle w:val="FootnoteText"/>
        <w:rPr>
          <w:rStyle w:val="FootnoteReference"/>
          <w:rFonts w:cs="Arial"/>
          <w:sz w:val="22"/>
        </w:rPr>
      </w:pPr>
      <w:r w:rsidRPr="005127A1">
        <w:rPr>
          <w:rStyle w:val="FootnoteReference"/>
          <w:rFonts w:cs="Arial"/>
          <w:sz w:val="22"/>
        </w:rPr>
        <w:footnoteRef/>
      </w:r>
      <w:r w:rsidRPr="005127A1">
        <w:rPr>
          <w:rStyle w:val="FootnoteReference"/>
          <w:rFonts w:cs="Arial"/>
          <w:sz w:val="22"/>
        </w:rPr>
        <w:t xml:space="preserve"> </w:t>
      </w:r>
      <w:r w:rsidRPr="00910824">
        <w:t xml:space="preserve">See </w:t>
      </w:r>
      <w:r w:rsidRPr="00D9755D">
        <w:rPr>
          <w:i/>
          <w:iCs/>
        </w:rPr>
        <w:t>BCBCA</w:t>
      </w:r>
      <w:r w:rsidRPr="00910824">
        <w:t>, s. 18</w:t>
      </w:r>
      <w:r>
        <w:t xml:space="preserve">; </w:t>
      </w:r>
      <w:r w:rsidRPr="00D9755D">
        <w:rPr>
          <w:i/>
          <w:iCs/>
        </w:rPr>
        <w:t>Advising BC Businesses</w:t>
      </w:r>
      <w:r>
        <w:t xml:space="preserve"> s. 7.26: Examination of original certificate or a certified copy is no longer required by the Province of British Columbia.</w:t>
      </w:r>
      <w:r w:rsidRPr="00910824">
        <w:t xml:space="preserve"> </w:t>
      </w:r>
      <w:r>
        <w:t>W</w:t>
      </w:r>
      <w:r w:rsidRPr="00910824">
        <w:t>hether or not the requirements precedent and incidental to incorporation have been complied with, a notation in the corporate register that a company has been incorporated is conclusive evidence</w:t>
      </w:r>
      <w:r>
        <w:t xml:space="preserve"> </w:t>
      </w:r>
      <w:r w:rsidRPr="00910824">
        <w:t>that the company has been duly incorporated on the date shown and the time, if any, shown in the corporate register</w:t>
      </w:r>
      <w:r>
        <w:t>.</w:t>
      </w:r>
    </w:p>
  </w:footnote>
  <w:footnote w:id="7">
    <w:p w14:paraId="53F55236" w14:textId="6A25F070" w:rsidR="00B14BF7" w:rsidRPr="00A12F32" w:rsidRDefault="00B14BF7" w:rsidP="00B14BF7">
      <w:pPr>
        <w:pStyle w:val="FootnoteText"/>
      </w:pPr>
      <w:r w:rsidRPr="005127A1">
        <w:rPr>
          <w:rStyle w:val="FootnoteReference"/>
          <w:rFonts w:cs="Arial"/>
          <w:sz w:val="22"/>
        </w:rPr>
        <w:footnoteRef/>
      </w:r>
      <w:r w:rsidRPr="005127A1">
        <w:rPr>
          <w:rStyle w:val="FootnoteReference"/>
          <w:rFonts w:cs="Arial"/>
          <w:sz w:val="22"/>
        </w:rPr>
        <w:t xml:space="preserve"> </w:t>
      </w:r>
      <w:r w:rsidRPr="001B672C">
        <w:rPr>
          <w:i/>
          <w:iCs/>
        </w:rPr>
        <w:t>Estey</w:t>
      </w:r>
      <w:r w:rsidRPr="00A12F32">
        <w:t>, page</w:t>
      </w:r>
      <w:r w:rsidR="00031BC2">
        <w:t>s</w:t>
      </w:r>
      <w:r w:rsidR="00083749">
        <w:t xml:space="preserve"> 206-218</w:t>
      </w:r>
      <w:r w:rsidRPr="00A12F32">
        <w:t xml:space="preserve">; </w:t>
      </w:r>
      <w:r w:rsidRPr="001B672C">
        <w:rPr>
          <w:i/>
          <w:iCs/>
        </w:rPr>
        <w:t>Advising BC Businesses</w:t>
      </w:r>
      <w:r w:rsidRPr="00A12F32">
        <w:t xml:space="preserve">, s. 7.30. </w:t>
      </w:r>
    </w:p>
  </w:footnote>
  <w:footnote w:id="8">
    <w:p w14:paraId="6C72E050" w14:textId="1CA31CC4" w:rsidR="00B14BF7" w:rsidRPr="005127A1" w:rsidRDefault="00B14BF7" w:rsidP="00B14BF7">
      <w:pPr>
        <w:pStyle w:val="FootnoteText"/>
        <w:rPr>
          <w:rStyle w:val="FootnoteReference"/>
          <w:rFonts w:cs="Arial"/>
          <w:sz w:val="22"/>
        </w:rPr>
      </w:pPr>
      <w:r w:rsidRPr="005127A1">
        <w:rPr>
          <w:rStyle w:val="FootnoteReference"/>
          <w:rFonts w:cs="Arial"/>
          <w:sz w:val="22"/>
        </w:rPr>
        <w:footnoteRef/>
      </w:r>
      <w:r w:rsidRPr="005127A1">
        <w:rPr>
          <w:rStyle w:val="FootnoteReference"/>
          <w:rFonts w:cs="Arial"/>
          <w:sz w:val="22"/>
        </w:rPr>
        <w:t xml:space="preserve"> </w:t>
      </w:r>
      <w:r w:rsidRPr="00CA4127">
        <w:rPr>
          <w:i/>
          <w:iCs/>
        </w:rPr>
        <w:t>Estey</w:t>
      </w:r>
      <w:r w:rsidRPr="00A12F32">
        <w:t>, page</w:t>
      </w:r>
      <w:r w:rsidR="00083749">
        <w:t>s</w:t>
      </w:r>
      <w:r w:rsidRPr="00A12F32">
        <w:t xml:space="preserve"> </w:t>
      </w:r>
      <w:r w:rsidR="00083749">
        <w:t>219-236</w:t>
      </w:r>
      <w:r>
        <w:t xml:space="preserve">; </w:t>
      </w:r>
      <w:r w:rsidRPr="00CA4127">
        <w:rPr>
          <w:i/>
          <w:iCs/>
        </w:rPr>
        <w:t>Advising BC Businesses</w:t>
      </w:r>
      <w:r>
        <w:t>, s. 7.32: T</w:t>
      </w:r>
      <w:r w:rsidRPr="00A12F32">
        <w:t xml:space="preserve">his is usual to state in a commercial transaction opinion. However, see </w:t>
      </w:r>
      <w:r w:rsidRPr="00CA4127">
        <w:rPr>
          <w:i/>
          <w:iCs/>
        </w:rPr>
        <w:t>Estey</w:t>
      </w:r>
      <w:r w:rsidRPr="00A12F32">
        <w:t>, page 136 for a discussion on due diligence: the generally accepted custom and practice is that the opinion giver may assume that all appropriate formalities (such as the election of directors, appointment of officers, convening and holding of meetings) were duly complied with, unless he or she has actual knowledge to the contrary</w:t>
      </w:r>
      <w:r>
        <w:t>.</w:t>
      </w:r>
    </w:p>
  </w:footnote>
  <w:footnote w:id="9">
    <w:p w14:paraId="0E144358" w14:textId="173C7457" w:rsidR="00B14BF7" w:rsidRPr="00FC42CB" w:rsidRDefault="00B14BF7" w:rsidP="00B14BF7">
      <w:pPr>
        <w:pStyle w:val="FootnoteText"/>
        <w:rPr>
          <w:rStyle w:val="FootnoteReference"/>
          <w:rFonts w:cs="Arial"/>
          <w:sz w:val="22"/>
        </w:rPr>
      </w:pPr>
      <w:r w:rsidRPr="005127A1">
        <w:rPr>
          <w:rStyle w:val="FootnoteReference"/>
          <w:rFonts w:cs="Arial"/>
          <w:sz w:val="22"/>
        </w:rPr>
        <w:footnoteRef/>
      </w:r>
      <w:r w:rsidRPr="005127A1">
        <w:rPr>
          <w:rStyle w:val="FootnoteReference"/>
          <w:rFonts w:cs="Arial"/>
          <w:sz w:val="22"/>
        </w:rPr>
        <w:t xml:space="preserve"> </w:t>
      </w:r>
      <w:r w:rsidRPr="00CA4127">
        <w:rPr>
          <w:i/>
          <w:iCs/>
        </w:rPr>
        <w:t>Estey</w:t>
      </w:r>
      <w:r w:rsidRPr="00A12F32">
        <w:t xml:space="preserve">, page </w:t>
      </w:r>
      <w:r w:rsidR="00F87DC8">
        <w:t>228</w:t>
      </w:r>
      <w:r w:rsidRPr="00A12F32">
        <w:t xml:space="preserve">: It is not necessary to conduct a full minute book search to confirm that all necessary corporate formalities (including the proper election of directors) were duly complied with for purposes of this opinion; </w:t>
      </w:r>
      <w:r w:rsidRPr="00FC42CB">
        <w:t>generally, it is considered appropriate to rely on a certified copy of the directors’ resolutions.</w:t>
      </w:r>
    </w:p>
  </w:footnote>
  <w:footnote w:id="10">
    <w:p w14:paraId="08E409BF" w14:textId="5FED1800" w:rsidR="00B14BF7" w:rsidRPr="00FC42CB" w:rsidRDefault="00B14BF7" w:rsidP="00B14BF7">
      <w:pPr>
        <w:pStyle w:val="FootnoteText"/>
        <w:rPr>
          <w:rStyle w:val="FootnoteReference"/>
          <w:rFonts w:cs="Arial"/>
          <w:sz w:val="22"/>
        </w:rPr>
      </w:pPr>
      <w:r w:rsidRPr="00FC42CB">
        <w:rPr>
          <w:rStyle w:val="FootnoteReference"/>
          <w:rFonts w:cs="Arial"/>
          <w:sz w:val="22"/>
        </w:rPr>
        <w:footnoteRef/>
      </w:r>
      <w:r w:rsidRPr="00FC42CB">
        <w:rPr>
          <w:rStyle w:val="FootnoteReference"/>
          <w:rFonts w:cs="Arial"/>
          <w:sz w:val="22"/>
        </w:rPr>
        <w:t xml:space="preserve"> </w:t>
      </w:r>
      <w:r w:rsidRPr="00FC42CB">
        <w:rPr>
          <w:i/>
          <w:iCs/>
        </w:rPr>
        <w:t>Estey</w:t>
      </w:r>
      <w:r w:rsidRPr="00FC42CB">
        <w:t>, page</w:t>
      </w:r>
      <w:r w:rsidR="00F87DC8" w:rsidRPr="00FC42CB">
        <w:t>s</w:t>
      </w:r>
      <w:r w:rsidRPr="00FC42CB">
        <w:t xml:space="preserve"> </w:t>
      </w:r>
      <w:r w:rsidR="00F87DC8" w:rsidRPr="00FC42CB">
        <w:t>236</w:t>
      </w:r>
      <w:r w:rsidRPr="00FC42CB">
        <w:t>-</w:t>
      </w:r>
      <w:r w:rsidR="00FC42CB" w:rsidRPr="00FC42CB">
        <w:t>263</w:t>
      </w:r>
      <w:r w:rsidRPr="00FC42CB">
        <w:t>.</w:t>
      </w:r>
    </w:p>
  </w:footnote>
  <w:footnote w:id="11">
    <w:p w14:paraId="2F56A6B3" w14:textId="0F39ECAD" w:rsidR="00445A17" w:rsidRPr="005127A1" w:rsidRDefault="00445A17" w:rsidP="00B14BF7">
      <w:pPr>
        <w:pStyle w:val="FootnoteText"/>
        <w:rPr>
          <w:rStyle w:val="FootnoteReference"/>
          <w:rFonts w:cs="Arial"/>
          <w:sz w:val="22"/>
        </w:rPr>
      </w:pPr>
      <w:r w:rsidRPr="00FC42CB">
        <w:rPr>
          <w:rStyle w:val="FootnoteReference"/>
          <w:rFonts w:cs="Arial"/>
          <w:sz w:val="22"/>
        </w:rPr>
        <w:footnoteRef/>
      </w:r>
      <w:r w:rsidRPr="00FC42CB">
        <w:rPr>
          <w:rStyle w:val="FootnoteReference"/>
          <w:rFonts w:cs="Arial"/>
          <w:i/>
          <w:iCs/>
          <w:sz w:val="22"/>
        </w:rPr>
        <w:t xml:space="preserve"> </w:t>
      </w:r>
      <w:r w:rsidRPr="00FC42CB">
        <w:rPr>
          <w:i/>
          <w:iCs/>
        </w:rPr>
        <w:t>Estey</w:t>
      </w:r>
      <w:r w:rsidRPr="00FC42CB">
        <w:t>, page</w:t>
      </w:r>
      <w:r w:rsidR="00112C7F">
        <w:t>s</w:t>
      </w:r>
      <w:r w:rsidRPr="00A12F32">
        <w:t xml:space="preserve"> </w:t>
      </w:r>
      <w:r w:rsidR="00FC42CB">
        <w:t>237-240</w:t>
      </w:r>
      <w:r w:rsidR="00FB6526">
        <w:t xml:space="preserve"> (traditional closings) and pages 248-261 (virtual closings)</w:t>
      </w:r>
      <w:r>
        <w:t xml:space="preserve">; </w:t>
      </w:r>
      <w:r w:rsidRPr="00CA4127">
        <w:rPr>
          <w:i/>
          <w:iCs/>
        </w:rPr>
        <w:t>Advising BC Businesses</w:t>
      </w:r>
      <w:r>
        <w:t>, s. 7.33: C</w:t>
      </w:r>
      <w:r w:rsidRPr="00A12F32">
        <w:t>ounsel should not rely on apparent or ostensible authority principles to give this opinion; actual authority should be established.</w:t>
      </w:r>
    </w:p>
  </w:footnote>
  <w:footnote w:id="12">
    <w:p w14:paraId="2A45F15A" w14:textId="3C394F49" w:rsidR="00445A17" w:rsidRPr="005127A1" w:rsidRDefault="00445A17" w:rsidP="00B14BF7">
      <w:pPr>
        <w:pStyle w:val="FootnoteText"/>
        <w:rPr>
          <w:rStyle w:val="FootnoteReference"/>
          <w:rFonts w:cs="Arial"/>
          <w:sz w:val="22"/>
        </w:rPr>
      </w:pPr>
      <w:r w:rsidRPr="005127A1">
        <w:rPr>
          <w:rStyle w:val="FootnoteReference"/>
          <w:rFonts w:cs="Arial"/>
          <w:sz w:val="22"/>
        </w:rPr>
        <w:footnoteRef/>
      </w:r>
      <w:r w:rsidRPr="005127A1">
        <w:rPr>
          <w:rStyle w:val="FootnoteReference"/>
          <w:rFonts w:cs="Arial"/>
          <w:sz w:val="22"/>
        </w:rPr>
        <w:t xml:space="preserve"> </w:t>
      </w:r>
      <w:r w:rsidRPr="00CA4127">
        <w:rPr>
          <w:i/>
          <w:iCs/>
        </w:rPr>
        <w:t>Estey</w:t>
      </w:r>
      <w:r w:rsidRPr="00A12F32">
        <w:t>, page</w:t>
      </w:r>
      <w:r w:rsidR="00112C7F">
        <w:t>s</w:t>
      </w:r>
      <w:r w:rsidRPr="00A12F32">
        <w:t xml:space="preserve"> </w:t>
      </w:r>
      <w:r w:rsidR="00FC42CB">
        <w:t>240-</w:t>
      </w:r>
      <w:r w:rsidR="00FB6526">
        <w:t xml:space="preserve">245 </w:t>
      </w:r>
      <w:r w:rsidRPr="00A12F32">
        <w:t>(traditional closings) and page</w:t>
      </w:r>
      <w:r w:rsidR="00FB6526">
        <w:t>s 261-262</w:t>
      </w:r>
      <w:r w:rsidRPr="00A12F32">
        <w:t xml:space="preserve"> (electronic closings); </w:t>
      </w:r>
      <w:r w:rsidRPr="00CA4127">
        <w:rPr>
          <w:i/>
          <w:iCs/>
        </w:rPr>
        <w:t>Advising BC Businesses</w:t>
      </w:r>
      <w:r w:rsidRPr="00A12F32">
        <w:t xml:space="preserve">, s. 7.34: The document </w:t>
      </w:r>
      <w:r>
        <w:t>must have been</w:t>
      </w:r>
      <w:r w:rsidRPr="00A12F32">
        <w:t xml:space="preserve"> delivered and released without conditions.</w:t>
      </w:r>
    </w:p>
  </w:footnote>
  <w:footnote w:id="13">
    <w:p w14:paraId="5A8BEB48" w14:textId="25039817" w:rsidR="00B14BF7" w:rsidRPr="005127A1" w:rsidRDefault="00B14BF7" w:rsidP="00B14BF7">
      <w:pPr>
        <w:pStyle w:val="FootnoteText"/>
        <w:rPr>
          <w:rStyle w:val="FootnoteReference"/>
          <w:rFonts w:cs="Arial"/>
          <w:sz w:val="22"/>
        </w:rPr>
      </w:pPr>
      <w:r w:rsidRPr="005127A1">
        <w:rPr>
          <w:rStyle w:val="FootnoteReference"/>
          <w:rFonts w:cs="Arial"/>
          <w:sz w:val="22"/>
        </w:rPr>
        <w:footnoteRef/>
      </w:r>
      <w:r w:rsidRPr="005127A1">
        <w:rPr>
          <w:rStyle w:val="FootnoteReference"/>
          <w:rFonts w:cs="Arial"/>
          <w:sz w:val="22"/>
        </w:rPr>
        <w:t xml:space="preserve"> </w:t>
      </w:r>
      <w:r w:rsidRPr="00CA4127">
        <w:rPr>
          <w:i/>
          <w:iCs/>
        </w:rPr>
        <w:t>Estey</w:t>
      </w:r>
      <w:r w:rsidRPr="00A12F32">
        <w:t>, page</w:t>
      </w:r>
      <w:r w:rsidR="00112C7F">
        <w:t>s 263-284</w:t>
      </w:r>
      <w:r>
        <w:t xml:space="preserve">; </w:t>
      </w:r>
      <w:r w:rsidRPr="00CA4127">
        <w:rPr>
          <w:i/>
          <w:iCs/>
        </w:rPr>
        <w:t>Advising BC Businesses</w:t>
      </w:r>
      <w:r w:rsidRPr="00A12F32">
        <w:t>, s. 7.35</w:t>
      </w:r>
      <w:r>
        <w:t>: T</w:t>
      </w:r>
      <w:r w:rsidRPr="00A12F32">
        <w:t xml:space="preserve">his is usually the key paragraph in any third party commercial transaction opinion, and is almost always subject to a bankruptcy and equitable principles qualification, as well as any other qualifications specifically relevant to the agreement. See also list of the effect of this opinion </w:t>
      </w:r>
      <w:r>
        <w:t xml:space="preserve">in </w:t>
      </w:r>
      <w:r w:rsidRPr="0026410C">
        <w:rPr>
          <w:i/>
          <w:iCs/>
        </w:rPr>
        <w:t>Estey</w:t>
      </w:r>
      <w:r>
        <w:t xml:space="preserve">, page </w:t>
      </w:r>
      <w:r w:rsidR="00447420">
        <w:t>271</w:t>
      </w:r>
      <w:r w:rsidRPr="00A12F32">
        <w:t xml:space="preserve">. Note that this opinion is rarely given in the context of real estate financing in British Columbia. See </w:t>
      </w:r>
      <w:hyperlink r:id="rId1" w:history="1">
        <w:r w:rsidRPr="00CA4127">
          <w:rPr>
            <w:color w:val="4472C4" w:themeColor="accent1"/>
            <w:u w:val="single"/>
          </w:rPr>
          <w:t>https://www.lawsociety.bc.ca/Website/media/Shared/docs/practice/SLOC/1-1.pdf</w:t>
        </w:r>
      </w:hyperlink>
      <w:r>
        <w:t>.</w:t>
      </w:r>
    </w:p>
  </w:footnote>
  <w:footnote w:id="14">
    <w:p w14:paraId="4BDAE461" w14:textId="6CBCB5A6" w:rsidR="00C64665" w:rsidRPr="005127A1" w:rsidRDefault="00C64665" w:rsidP="00C64665">
      <w:pPr>
        <w:pStyle w:val="FootnoteText"/>
        <w:rPr>
          <w:rStyle w:val="FootnoteReference"/>
          <w:rFonts w:cs="Arial"/>
          <w:sz w:val="22"/>
        </w:rPr>
      </w:pPr>
      <w:r w:rsidRPr="005127A1">
        <w:rPr>
          <w:rStyle w:val="FootnoteReference"/>
          <w:rFonts w:cs="Arial"/>
          <w:sz w:val="22"/>
        </w:rPr>
        <w:footnoteRef/>
      </w:r>
      <w:r w:rsidRPr="005127A1">
        <w:rPr>
          <w:rStyle w:val="FootnoteReference"/>
          <w:rFonts w:cs="Arial"/>
          <w:sz w:val="22"/>
        </w:rPr>
        <w:t xml:space="preserve"> </w:t>
      </w:r>
      <w:r w:rsidRPr="00CA4127">
        <w:rPr>
          <w:i/>
          <w:iCs/>
        </w:rPr>
        <w:t>Estey</w:t>
      </w:r>
      <w:r w:rsidRPr="00055D1B">
        <w:t>, pag</w:t>
      </w:r>
      <w:r w:rsidR="00447420">
        <w:t>es 265</w:t>
      </w:r>
      <w:r w:rsidR="0026410C">
        <w:t>-268</w:t>
      </w:r>
      <w:r w:rsidRPr="00055D1B">
        <w:t xml:space="preserve">; </w:t>
      </w:r>
      <w:r w:rsidRPr="00CA4127">
        <w:rPr>
          <w:i/>
          <w:iCs/>
        </w:rPr>
        <w:t>Advising BC Businesses</w:t>
      </w:r>
      <w:r w:rsidRPr="00055D1B">
        <w:t>, s. 7.35: There is considerable difference of opinion as to what each of these three terms means individually, but each overlap with the others and none of them are perceived to be sufficient by itself — they are viewed as a unit.</w:t>
      </w:r>
    </w:p>
  </w:footnote>
  <w:footnote w:id="15">
    <w:p w14:paraId="514D9681" w14:textId="48D8056F" w:rsidR="008861C9" w:rsidRPr="005127A1" w:rsidRDefault="008861C9" w:rsidP="008861C9">
      <w:pPr>
        <w:pStyle w:val="FootnoteText"/>
        <w:rPr>
          <w:rStyle w:val="FootnoteReference"/>
          <w:rFonts w:cs="Arial"/>
          <w:sz w:val="22"/>
        </w:rPr>
      </w:pPr>
      <w:r w:rsidRPr="005127A1">
        <w:rPr>
          <w:rStyle w:val="FootnoteReference"/>
          <w:rFonts w:cs="Arial"/>
          <w:sz w:val="22"/>
        </w:rPr>
        <w:footnoteRef/>
      </w:r>
      <w:r w:rsidRPr="00CA4127">
        <w:rPr>
          <w:rStyle w:val="FootnoteReference"/>
          <w:rFonts w:cs="Arial"/>
          <w:i/>
          <w:iCs/>
          <w:sz w:val="22"/>
        </w:rPr>
        <w:t xml:space="preserve"> </w:t>
      </w:r>
      <w:r w:rsidRPr="00CA4127">
        <w:rPr>
          <w:i/>
          <w:iCs/>
        </w:rPr>
        <w:t>Estey</w:t>
      </w:r>
      <w:r w:rsidRPr="00055D1B">
        <w:t xml:space="preserve">, page </w:t>
      </w:r>
      <w:r w:rsidR="0026410C">
        <w:t>267</w:t>
      </w:r>
      <w:r w:rsidRPr="00055D1B">
        <w:t xml:space="preserve">: </w:t>
      </w:r>
      <w:r>
        <w:t>N</w:t>
      </w:r>
      <w:r w:rsidRPr="00055D1B">
        <w:t xml:space="preserve">o significant difference between “enforceable” and “enforceable in accordance with its terms” — but usual to include an equitable principles qualification); </w:t>
      </w:r>
      <w:r w:rsidRPr="00CA4127">
        <w:rPr>
          <w:i/>
          <w:iCs/>
        </w:rPr>
        <w:t>Advising BC Businesses</w:t>
      </w:r>
      <w:r w:rsidRPr="00055D1B">
        <w:t>, s. 7.36</w:t>
      </w:r>
      <w:r>
        <w:t>: U</w:t>
      </w:r>
      <w:r w:rsidRPr="00055D1B">
        <w:t>sually the inclusion of “in accordance with its terms” is more likely to imply an opinion as to the availability of specific performance, but often qualifications are included in the agreement regardless of the words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5A44" w14:textId="4523FF97" w:rsidR="00687887" w:rsidRDefault="00687887" w:rsidP="00641FB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16FF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2AA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121E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EA67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40D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6EBA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9E8B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984D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887A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5C5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82FBC"/>
    <w:multiLevelType w:val="hybridMultilevel"/>
    <w:tmpl w:val="E342DA1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0E867027"/>
    <w:multiLevelType w:val="multilevel"/>
    <w:tmpl w:val="0E647614"/>
    <w:name w:val="zzmpSimple||Simple Numbering|2|3|1|1|12|32||mpNA||mpNA||mpNA||mpNA||mpNA||mpNA||mpNA||mpNA||"/>
    <w:lvl w:ilvl="0">
      <w:start w:val="1"/>
      <w:numFmt w:val="decimal"/>
      <w:lvlText w:val="%1."/>
      <w:lvlJc w:val="left"/>
      <w:pPr>
        <w:tabs>
          <w:tab w:val="num" w:pos="720"/>
        </w:tabs>
        <w:ind w:left="720" w:hanging="720"/>
      </w:pPr>
      <w:rPr>
        <w:rFonts w:ascii="Arial" w:hAnsi="Arial" w:cs="Arial"/>
        <w:b w:val="0"/>
        <w:i w:val="0"/>
        <w:caps w:val="0"/>
        <w:sz w:val="22"/>
        <w:u w:val="none"/>
      </w:rPr>
    </w:lvl>
    <w:lvl w:ilvl="1">
      <w:start w:val="1"/>
      <w:numFmt w:val="lowerLetter"/>
      <w:lvlText w:val="(%2)"/>
      <w:lvlJc w:val="left"/>
      <w:pPr>
        <w:tabs>
          <w:tab w:val="num" w:pos="1440"/>
        </w:tabs>
        <w:ind w:left="1440" w:hanging="720"/>
      </w:pPr>
      <w:rPr>
        <w:b w:val="0"/>
        <w:i w:val="0"/>
        <w:caps w:val="0"/>
        <w:u w:val="none"/>
      </w:rPr>
    </w:lvl>
    <w:lvl w:ilvl="2">
      <w:start w:val="1"/>
      <w:numFmt w:val="lowerRoman"/>
      <w:lvlText w:val="(%3)"/>
      <w:lvlJc w:val="left"/>
      <w:pPr>
        <w:tabs>
          <w:tab w:val="num" w:pos="2160"/>
        </w:tabs>
        <w:ind w:left="2160" w:hanging="720"/>
      </w:pPr>
      <w:rPr>
        <w:b w:val="0"/>
        <w:i w:val="0"/>
        <w:caps w:val="0"/>
        <w:u w:val="none"/>
      </w:rPr>
    </w:lvl>
    <w:lvl w:ilvl="3">
      <w:start w:val="1"/>
      <w:numFmt w:val="upperLetter"/>
      <w:lvlText w:val="(%4)"/>
      <w:lvlJc w:val="left"/>
      <w:pPr>
        <w:tabs>
          <w:tab w:val="num" w:pos="2880"/>
        </w:tabs>
        <w:ind w:left="2880" w:hanging="720"/>
      </w:pPr>
      <w:rPr>
        <w:b w:val="0"/>
        <w:i w:val="0"/>
        <w:caps w:val="0"/>
        <w:u w:val="none"/>
      </w:rPr>
    </w:lvl>
    <w:lvl w:ilvl="4">
      <w:start w:val="1"/>
      <w:numFmt w:val="upperRoman"/>
      <w:lvlText w:val="(%5)"/>
      <w:lvlJc w:val="left"/>
      <w:pPr>
        <w:tabs>
          <w:tab w:val="num" w:pos="3600"/>
        </w:tabs>
        <w:ind w:left="3600" w:hanging="720"/>
      </w:pPr>
      <w:rPr>
        <w:b w:val="0"/>
        <w:i w:val="0"/>
        <w:caps w:val="0"/>
        <w:u w:val="none"/>
      </w:rPr>
    </w:lvl>
    <w:lvl w:ilvl="5">
      <w:start w:val="1"/>
      <w:numFmt w:val="decimal"/>
      <w:lvlText w:val="(%6)"/>
      <w:lvlJc w:val="left"/>
      <w:pPr>
        <w:tabs>
          <w:tab w:val="num" w:pos="4320"/>
        </w:tabs>
        <w:ind w:left="4320" w:hanging="720"/>
      </w:pPr>
      <w:rPr>
        <w:b w:val="0"/>
        <w:i w:val="0"/>
        <w:caps w:val="0"/>
        <w:u w:val="none"/>
      </w:rPr>
    </w:lvl>
    <w:lvl w:ilvl="6">
      <w:start w:val="1"/>
      <w:numFmt w:val="lowerLetter"/>
      <w:lvlText w:val="%7)"/>
      <w:lvlJc w:val="left"/>
      <w:pPr>
        <w:tabs>
          <w:tab w:val="num" w:pos="5040"/>
        </w:tabs>
        <w:ind w:left="5040" w:hanging="720"/>
      </w:pPr>
      <w:rPr>
        <w:b w:val="0"/>
        <w:i w:val="0"/>
        <w:caps w:val="0"/>
        <w:u w:val="none"/>
      </w:rPr>
    </w:lvl>
    <w:lvl w:ilvl="7">
      <w:start w:val="1"/>
      <w:numFmt w:val="lowerRoman"/>
      <w:lvlText w:val="%8)"/>
      <w:lvlJc w:val="left"/>
      <w:pPr>
        <w:tabs>
          <w:tab w:val="num" w:pos="5760"/>
        </w:tabs>
        <w:ind w:left="5760" w:hanging="720"/>
      </w:pPr>
      <w:rPr>
        <w:b w:val="0"/>
        <w:i w:val="0"/>
        <w:caps w:val="0"/>
        <w:u w:val="none"/>
      </w:rPr>
    </w:lvl>
    <w:lvl w:ilvl="8">
      <w:start w:val="1"/>
      <w:numFmt w:val="decimal"/>
      <w:lvlText w:val="%9)"/>
      <w:lvlJc w:val="left"/>
      <w:pPr>
        <w:tabs>
          <w:tab w:val="num" w:pos="6480"/>
        </w:tabs>
        <w:ind w:left="6480" w:hanging="720"/>
      </w:pPr>
      <w:rPr>
        <w:b w:val="0"/>
        <w:i w:val="0"/>
        <w:caps w:val="0"/>
        <w:u w:val="none"/>
      </w:rPr>
    </w:lvl>
  </w:abstractNum>
  <w:abstractNum w:abstractNumId="12" w15:restartNumberingAfterBreak="0">
    <w:nsid w:val="1A25320C"/>
    <w:multiLevelType w:val="hybridMultilevel"/>
    <w:tmpl w:val="46080F58"/>
    <w:lvl w:ilvl="0" w:tplc="B2529890">
      <w:start w:val="1"/>
      <w:numFmt w:val="decimal"/>
      <w:pStyle w:val="ListParagraphNon-Hanging"/>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A450F03"/>
    <w:multiLevelType w:val="hybridMultilevel"/>
    <w:tmpl w:val="E2B4B6A8"/>
    <w:lvl w:ilvl="0" w:tplc="B2E0C36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B0DFD"/>
    <w:multiLevelType w:val="multilevel"/>
    <w:tmpl w:val="E5243114"/>
    <w:lvl w:ilvl="0">
      <w:start w:val="1"/>
      <w:numFmt w:val="bullet"/>
      <w:pStyle w:val="Table-Bullet"/>
      <w:lvlText w:val=""/>
      <w:lvlJc w:val="left"/>
      <w:pPr>
        <w:tabs>
          <w:tab w:val="num" w:pos="432"/>
        </w:tabs>
        <w:ind w:left="43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DD2EBD"/>
    <w:multiLevelType w:val="multilevel"/>
    <w:tmpl w:val="C1F67CF0"/>
    <w:lvl w:ilvl="0">
      <w:start w:val="1"/>
      <w:numFmt w:val="decimal"/>
      <w:lvlRestart w:val="0"/>
      <w:lvlText w:val="%1."/>
      <w:lvlJc w:val="left"/>
      <w:pPr>
        <w:tabs>
          <w:tab w:val="num" w:pos="720"/>
        </w:tabs>
        <w:ind w:left="720" w:hanging="720"/>
      </w:pPr>
      <w:rPr>
        <w:rFonts w:hint="default"/>
        <w:b w:val="0"/>
        <w:i w:val="0"/>
        <w:caps w:val="0"/>
        <w:smallCaps w:val="0"/>
        <w:color w:val="000000"/>
        <w:sz w:val="24"/>
        <w:u w:val="none" w:color="000000"/>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Times New Roman" w:eastAsia="Times New Roman" w:hAnsi="Times New Roman" w:cs="Times New Roman"/>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16" w15:restartNumberingAfterBreak="0">
    <w:nsid w:val="4A72482C"/>
    <w:multiLevelType w:val="hybridMultilevel"/>
    <w:tmpl w:val="74AA129A"/>
    <w:lvl w:ilvl="0" w:tplc="70F612C2">
      <w:start w:val="1"/>
      <w:numFmt w:val="upperLetter"/>
      <w:lvlText w:val="%1."/>
      <w:lvlJc w:val="left"/>
      <w:pPr>
        <w:ind w:left="0" w:firstLine="0"/>
      </w:pPr>
      <w:rPr>
        <w:rFonts w:hint="default"/>
      </w:rPr>
    </w:lvl>
    <w:lvl w:ilvl="1" w:tplc="F66294B4" w:tentative="1">
      <w:start w:val="1"/>
      <w:numFmt w:val="lowerLetter"/>
      <w:lvlText w:val="%2."/>
      <w:lvlJc w:val="left"/>
      <w:pPr>
        <w:ind w:left="2160" w:hanging="360"/>
      </w:pPr>
    </w:lvl>
    <w:lvl w:ilvl="2" w:tplc="445CF0E0" w:tentative="1">
      <w:start w:val="1"/>
      <w:numFmt w:val="lowerRoman"/>
      <w:lvlText w:val="%3."/>
      <w:lvlJc w:val="right"/>
      <w:pPr>
        <w:ind w:left="2880" w:hanging="180"/>
      </w:pPr>
    </w:lvl>
    <w:lvl w:ilvl="3" w:tplc="671CF880" w:tentative="1">
      <w:start w:val="1"/>
      <w:numFmt w:val="decimal"/>
      <w:lvlText w:val="%4."/>
      <w:lvlJc w:val="left"/>
      <w:pPr>
        <w:ind w:left="3600" w:hanging="360"/>
      </w:pPr>
    </w:lvl>
    <w:lvl w:ilvl="4" w:tplc="050CF41E" w:tentative="1">
      <w:start w:val="1"/>
      <w:numFmt w:val="lowerLetter"/>
      <w:lvlText w:val="%5."/>
      <w:lvlJc w:val="left"/>
      <w:pPr>
        <w:ind w:left="4320" w:hanging="360"/>
      </w:pPr>
    </w:lvl>
    <w:lvl w:ilvl="5" w:tplc="B882C6FE" w:tentative="1">
      <w:start w:val="1"/>
      <w:numFmt w:val="lowerRoman"/>
      <w:lvlText w:val="%6."/>
      <w:lvlJc w:val="right"/>
      <w:pPr>
        <w:ind w:left="5040" w:hanging="180"/>
      </w:pPr>
    </w:lvl>
    <w:lvl w:ilvl="6" w:tplc="B2CEF786" w:tentative="1">
      <w:start w:val="1"/>
      <w:numFmt w:val="decimal"/>
      <w:lvlText w:val="%7."/>
      <w:lvlJc w:val="left"/>
      <w:pPr>
        <w:ind w:left="5760" w:hanging="360"/>
      </w:pPr>
    </w:lvl>
    <w:lvl w:ilvl="7" w:tplc="73B09710" w:tentative="1">
      <w:start w:val="1"/>
      <w:numFmt w:val="lowerLetter"/>
      <w:lvlText w:val="%8."/>
      <w:lvlJc w:val="left"/>
      <w:pPr>
        <w:ind w:left="6480" w:hanging="360"/>
      </w:pPr>
    </w:lvl>
    <w:lvl w:ilvl="8" w:tplc="A7527BF4" w:tentative="1">
      <w:start w:val="1"/>
      <w:numFmt w:val="lowerRoman"/>
      <w:lvlText w:val="%9."/>
      <w:lvlJc w:val="right"/>
      <w:pPr>
        <w:ind w:left="7200" w:hanging="180"/>
      </w:pPr>
    </w:lvl>
  </w:abstractNum>
  <w:abstractNum w:abstractNumId="17" w15:restartNumberingAfterBreak="0">
    <w:nsid w:val="4AB54B87"/>
    <w:multiLevelType w:val="multilevel"/>
    <w:tmpl w:val="E59E9FC6"/>
    <w:lvl w:ilvl="0">
      <w:start w:val="1"/>
      <w:numFmt w:val="decimal"/>
      <w:pStyle w:val="Table-NumL1"/>
      <w:lvlText w:val="%1."/>
      <w:lvlJc w:val="left"/>
      <w:pPr>
        <w:tabs>
          <w:tab w:val="num" w:pos="576"/>
        </w:tabs>
        <w:ind w:left="576" w:hanging="57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BD74B5C"/>
    <w:multiLevelType w:val="hybridMultilevel"/>
    <w:tmpl w:val="74EA99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4ED51432"/>
    <w:multiLevelType w:val="multilevel"/>
    <w:tmpl w:val="DBA01AEE"/>
    <w:name w:val="Recitals-418047797-F"/>
    <w:styleLink w:val="RecitalsList"/>
    <w:lvl w:ilvl="0">
      <w:start w:val="1"/>
      <w:numFmt w:val="upperLetter"/>
      <w:lvlRestart w:val="0"/>
      <w:lvlText w:val="%1."/>
      <w:lvlJc w:val="left"/>
      <w:pPr>
        <w:ind w:left="720" w:hanging="720"/>
      </w:pPr>
      <w:rPr>
        <w:rFonts w:ascii="Arial" w:hAnsi="Arial" w:cs="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4CD2789"/>
    <w:multiLevelType w:val="singleLevel"/>
    <w:tmpl w:val="85300994"/>
    <w:name w:val="Bullet"/>
    <w:lvl w:ilvl="0">
      <w:start w:val="1"/>
      <w:numFmt w:val="bullet"/>
      <w:lvlText w:val=""/>
      <w:lvlJc w:val="left"/>
      <w:pPr>
        <w:tabs>
          <w:tab w:val="num" w:pos="720"/>
        </w:tabs>
        <w:ind w:left="720" w:hanging="720"/>
      </w:pPr>
      <w:rPr>
        <w:rFonts w:ascii="Symbol" w:hAnsi="Symbol" w:hint="default"/>
        <w:b w:val="0"/>
        <w:i w:val="0"/>
        <w:sz w:val="24"/>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9"/>
  </w:num>
  <w:num w:numId="14">
    <w:abstractNumId w:val="11"/>
  </w:num>
  <w:num w:numId="15">
    <w:abstractNumId w:val="11"/>
  </w:num>
  <w:num w:numId="16">
    <w:abstractNumId w:val="17"/>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0"/>
  </w:num>
  <w:num w:numId="21">
    <w:abstractNumId w:val="12"/>
  </w:num>
  <w:num w:numId="22">
    <w:abstractNumId w:val="13"/>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Natalie\AppData\Local\Temp\4230e271-e7f3-4da7-8153-6599d259be9e.docx"/>
    <w:docVar w:name="InfowareActiveNumbering" w:val="418047797"/>
    <w:docVar w:name="InfowareListDefs" w:val="Recitals-418047797-Recitals-1-1-F"/>
    <w:docVar w:name="InfowareListDefsFriendly" w:val="Recitals A."/>
    <w:docVar w:name="zzmp10LastTrailerInserted" w:val="^`~#mp!@⌕R0#⌖├┨48&lt;~ŗm5l4b8k²hÔ⌇pÚŤ⌎Ũ⌐ƀ⌖}⌐Ñ⌒!;⌖©⌐1⌒«⌖2⌐M⌒@′⌖m⌐-⌒M à₮´ •⌝j¤êE⌌v]‴B⌟­zÝ•F2l6æjY⌇j⌛⌅ýÇNy⌊&gt;ŢÀ⌇W¯⌈W­¤ª_XòitgAx⌍¬ø⌇¼ß‡ÃŚÅ⌖ˎ4Q!ü⌞N₴.⌄`B(^^=LI7L011"/>
    <w:docVar w:name="zzmp10LastTrailerInserted_1078" w:val="^`~#mp!@⌕R0#⌖├┨48&lt;~ŗm5l4b8k²hÔ⌇pÚŤ⌎Ũ⌐ƀ⌖}⌐Ñ⌒!;⌖©⌐1⌒«⌖2⌐M⌒@′⌖m⌐-⌒M à₮´ •⌝j¤êE⌌v]‴B⌟­zÝ•F2l6æjY⌇j⌛⌅ýÇNy⌊&gt;ŢÀ⌇W¯⌈W­¤ª_XòitgAx⌍¬ø⌇¼ß‡ÃŚÅ⌖ˎ4Q!ü⌞N₴.⌄`B(^^=LI7L011"/>
    <w:docVar w:name="zzmp10mSEGsValidated" w:val="1"/>
    <w:docVar w:name="zzmpCompatibilityMode" w:val="15"/>
    <w:docVar w:name="zzmpFixedCurScheme" w:val="Simple"/>
    <w:docVar w:name="zzmpFixedCurScheme_9.0" w:val="2zzmpSimple"/>
    <w:docVar w:name="zzmpLegacyTrailerRemoved" w:val="True"/>
    <w:docVar w:name="zzmpLTFontsClean" w:val="True"/>
    <w:docVar w:name="zzmpnSession" w:val="0.9408838"/>
    <w:docVar w:name="zzmpSimple" w:val="||Simple Numbering|2|3|1|1|12|32||mpNA||mpNA||mpNA||mpNA||mpNA||mpNA||mpNA||mpNA||"/>
  </w:docVars>
  <w:rsids>
    <w:rsidRoot w:val="0036477A"/>
    <w:rsid w:val="00015A36"/>
    <w:rsid w:val="0003032E"/>
    <w:rsid w:val="00031BC2"/>
    <w:rsid w:val="000412A5"/>
    <w:rsid w:val="00043A1A"/>
    <w:rsid w:val="00055D1B"/>
    <w:rsid w:val="0005703E"/>
    <w:rsid w:val="000638C5"/>
    <w:rsid w:val="00083749"/>
    <w:rsid w:val="00090EC2"/>
    <w:rsid w:val="000A4D12"/>
    <w:rsid w:val="000B174B"/>
    <w:rsid w:val="000E2792"/>
    <w:rsid w:val="000E452A"/>
    <w:rsid w:val="000E5C0E"/>
    <w:rsid w:val="000E6F9E"/>
    <w:rsid w:val="000F75BA"/>
    <w:rsid w:val="00102DEE"/>
    <w:rsid w:val="00112C7F"/>
    <w:rsid w:val="00113FEE"/>
    <w:rsid w:val="00116CA8"/>
    <w:rsid w:val="0011738D"/>
    <w:rsid w:val="00127593"/>
    <w:rsid w:val="00132D95"/>
    <w:rsid w:val="00140F72"/>
    <w:rsid w:val="00156012"/>
    <w:rsid w:val="00170015"/>
    <w:rsid w:val="00186473"/>
    <w:rsid w:val="001A105F"/>
    <w:rsid w:val="001A1BE2"/>
    <w:rsid w:val="001A4DB6"/>
    <w:rsid w:val="001B672C"/>
    <w:rsid w:val="001C1B1F"/>
    <w:rsid w:val="001C23AC"/>
    <w:rsid w:val="001E0DC8"/>
    <w:rsid w:val="001F1AB8"/>
    <w:rsid w:val="001F4D2C"/>
    <w:rsid w:val="00202971"/>
    <w:rsid w:val="002103CB"/>
    <w:rsid w:val="00215524"/>
    <w:rsid w:val="00216C79"/>
    <w:rsid w:val="00243BE7"/>
    <w:rsid w:val="00255DEB"/>
    <w:rsid w:val="00256DA8"/>
    <w:rsid w:val="0026410C"/>
    <w:rsid w:val="0027403D"/>
    <w:rsid w:val="00287928"/>
    <w:rsid w:val="002A20F5"/>
    <w:rsid w:val="002A2619"/>
    <w:rsid w:val="002A58B4"/>
    <w:rsid w:val="002C5021"/>
    <w:rsid w:val="002F0F8D"/>
    <w:rsid w:val="002F1988"/>
    <w:rsid w:val="002F486D"/>
    <w:rsid w:val="002F52C7"/>
    <w:rsid w:val="002F55D6"/>
    <w:rsid w:val="003141EB"/>
    <w:rsid w:val="00321179"/>
    <w:rsid w:val="003405AC"/>
    <w:rsid w:val="003451B1"/>
    <w:rsid w:val="00360E5E"/>
    <w:rsid w:val="0036477A"/>
    <w:rsid w:val="00374009"/>
    <w:rsid w:val="00375BE6"/>
    <w:rsid w:val="003B1F23"/>
    <w:rsid w:val="003C1747"/>
    <w:rsid w:val="003C7D36"/>
    <w:rsid w:val="003F28C9"/>
    <w:rsid w:val="003F2D35"/>
    <w:rsid w:val="003F4F38"/>
    <w:rsid w:val="004011FB"/>
    <w:rsid w:val="0040521B"/>
    <w:rsid w:val="004132A2"/>
    <w:rsid w:val="00440D78"/>
    <w:rsid w:val="00441E27"/>
    <w:rsid w:val="004446D0"/>
    <w:rsid w:val="00445A17"/>
    <w:rsid w:val="0044679F"/>
    <w:rsid w:val="00447420"/>
    <w:rsid w:val="00476417"/>
    <w:rsid w:val="004831B6"/>
    <w:rsid w:val="0048393A"/>
    <w:rsid w:val="0049516C"/>
    <w:rsid w:val="004A0F11"/>
    <w:rsid w:val="004B00CB"/>
    <w:rsid w:val="004C4396"/>
    <w:rsid w:val="004D0125"/>
    <w:rsid w:val="004F446D"/>
    <w:rsid w:val="00501CEF"/>
    <w:rsid w:val="00507522"/>
    <w:rsid w:val="0051077F"/>
    <w:rsid w:val="00511A71"/>
    <w:rsid w:val="005127A1"/>
    <w:rsid w:val="0052058D"/>
    <w:rsid w:val="0052560E"/>
    <w:rsid w:val="0053244C"/>
    <w:rsid w:val="005412A3"/>
    <w:rsid w:val="0054222C"/>
    <w:rsid w:val="00552649"/>
    <w:rsid w:val="00570FDD"/>
    <w:rsid w:val="0059522F"/>
    <w:rsid w:val="005B08EE"/>
    <w:rsid w:val="005D1C80"/>
    <w:rsid w:val="005D44B6"/>
    <w:rsid w:val="005F0B3D"/>
    <w:rsid w:val="005F26F0"/>
    <w:rsid w:val="006044B3"/>
    <w:rsid w:val="00617871"/>
    <w:rsid w:val="00620118"/>
    <w:rsid w:val="00623E95"/>
    <w:rsid w:val="006251FB"/>
    <w:rsid w:val="00626CBC"/>
    <w:rsid w:val="0062757F"/>
    <w:rsid w:val="006349B6"/>
    <w:rsid w:val="00641FB4"/>
    <w:rsid w:val="00661144"/>
    <w:rsid w:val="0066401F"/>
    <w:rsid w:val="00671E8A"/>
    <w:rsid w:val="006827BE"/>
    <w:rsid w:val="0068396D"/>
    <w:rsid w:val="00687887"/>
    <w:rsid w:val="00695BFE"/>
    <w:rsid w:val="00695FF5"/>
    <w:rsid w:val="006A1536"/>
    <w:rsid w:val="006C360D"/>
    <w:rsid w:val="006E2C31"/>
    <w:rsid w:val="006E6A8C"/>
    <w:rsid w:val="006F02BC"/>
    <w:rsid w:val="006F066B"/>
    <w:rsid w:val="006F1F95"/>
    <w:rsid w:val="00701274"/>
    <w:rsid w:val="007020C1"/>
    <w:rsid w:val="00704A43"/>
    <w:rsid w:val="00715E9B"/>
    <w:rsid w:val="00721AD9"/>
    <w:rsid w:val="00723DEA"/>
    <w:rsid w:val="007366D6"/>
    <w:rsid w:val="0074122F"/>
    <w:rsid w:val="0074518B"/>
    <w:rsid w:val="00750402"/>
    <w:rsid w:val="00774684"/>
    <w:rsid w:val="007A3B14"/>
    <w:rsid w:val="007C39E5"/>
    <w:rsid w:val="007D2221"/>
    <w:rsid w:val="007E2228"/>
    <w:rsid w:val="008043C8"/>
    <w:rsid w:val="00810341"/>
    <w:rsid w:val="00814730"/>
    <w:rsid w:val="00814868"/>
    <w:rsid w:val="008155FE"/>
    <w:rsid w:val="00833B42"/>
    <w:rsid w:val="008376FD"/>
    <w:rsid w:val="00850303"/>
    <w:rsid w:val="008503A2"/>
    <w:rsid w:val="00860ABF"/>
    <w:rsid w:val="00861C1F"/>
    <w:rsid w:val="0086597B"/>
    <w:rsid w:val="00872C02"/>
    <w:rsid w:val="00873937"/>
    <w:rsid w:val="00874AAB"/>
    <w:rsid w:val="008861C9"/>
    <w:rsid w:val="008A2DC2"/>
    <w:rsid w:val="008B03DD"/>
    <w:rsid w:val="008D2736"/>
    <w:rsid w:val="008F38BC"/>
    <w:rsid w:val="00910824"/>
    <w:rsid w:val="00927B42"/>
    <w:rsid w:val="00935843"/>
    <w:rsid w:val="009569D8"/>
    <w:rsid w:val="00985544"/>
    <w:rsid w:val="0099441A"/>
    <w:rsid w:val="00996311"/>
    <w:rsid w:val="009C3D1F"/>
    <w:rsid w:val="009D0C9B"/>
    <w:rsid w:val="00A03225"/>
    <w:rsid w:val="00A06FB2"/>
    <w:rsid w:val="00A12F32"/>
    <w:rsid w:val="00A13531"/>
    <w:rsid w:val="00A22DC9"/>
    <w:rsid w:val="00A31270"/>
    <w:rsid w:val="00A37FE7"/>
    <w:rsid w:val="00A54219"/>
    <w:rsid w:val="00A73CE4"/>
    <w:rsid w:val="00A74880"/>
    <w:rsid w:val="00A822DF"/>
    <w:rsid w:val="00AA1E4D"/>
    <w:rsid w:val="00AA71E1"/>
    <w:rsid w:val="00AF4545"/>
    <w:rsid w:val="00AF6F99"/>
    <w:rsid w:val="00AF7EA2"/>
    <w:rsid w:val="00B072DF"/>
    <w:rsid w:val="00B07718"/>
    <w:rsid w:val="00B14BF7"/>
    <w:rsid w:val="00B21D83"/>
    <w:rsid w:val="00B32668"/>
    <w:rsid w:val="00B50F61"/>
    <w:rsid w:val="00B526A1"/>
    <w:rsid w:val="00B6679E"/>
    <w:rsid w:val="00B70EE2"/>
    <w:rsid w:val="00B813FC"/>
    <w:rsid w:val="00B90D8D"/>
    <w:rsid w:val="00B93437"/>
    <w:rsid w:val="00B94EA1"/>
    <w:rsid w:val="00B963CA"/>
    <w:rsid w:val="00BC67BE"/>
    <w:rsid w:val="00BE0DAE"/>
    <w:rsid w:val="00BE7A88"/>
    <w:rsid w:val="00C01034"/>
    <w:rsid w:val="00C04C7F"/>
    <w:rsid w:val="00C11BFC"/>
    <w:rsid w:val="00C24FD8"/>
    <w:rsid w:val="00C34543"/>
    <w:rsid w:val="00C36D2A"/>
    <w:rsid w:val="00C63AF0"/>
    <w:rsid w:val="00C64665"/>
    <w:rsid w:val="00C855F4"/>
    <w:rsid w:val="00C85CB1"/>
    <w:rsid w:val="00C948BE"/>
    <w:rsid w:val="00CA4127"/>
    <w:rsid w:val="00CB28ED"/>
    <w:rsid w:val="00D0369D"/>
    <w:rsid w:val="00D103B2"/>
    <w:rsid w:val="00D14868"/>
    <w:rsid w:val="00D50493"/>
    <w:rsid w:val="00D560C3"/>
    <w:rsid w:val="00D62FD1"/>
    <w:rsid w:val="00D9755D"/>
    <w:rsid w:val="00DA6485"/>
    <w:rsid w:val="00DC215F"/>
    <w:rsid w:val="00DC3C35"/>
    <w:rsid w:val="00DF1D62"/>
    <w:rsid w:val="00DF5033"/>
    <w:rsid w:val="00DF641B"/>
    <w:rsid w:val="00E032E8"/>
    <w:rsid w:val="00E4243D"/>
    <w:rsid w:val="00E549C6"/>
    <w:rsid w:val="00E74A0B"/>
    <w:rsid w:val="00EA2B40"/>
    <w:rsid w:val="00EB686A"/>
    <w:rsid w:val="00ED10E1"/>
    <w:rsid w:val="00ED33F0"/>
    <w:rsid w:val="00EF2806"/>
    <w:rsid w:val="00F0481D"/>
    <w:rsid w:val="00F527E0"/>
    <w:rsid w:val="00F80B97"/>
    <w:rsid w:val="00F87DC8"/>
    <w:rsid w:val="00F9586B"/>
    <w:rsid w:val="00F9766B"/>
    <w:rsid w:val="00FA4DD2"/>
    <w:rsid w:val="00FB6526"/>
    <w:rsid w:val="00FC2D4E"/>
    <w:rsid w:val="00FC42CB"/>
    <w:rsid w:val="00FE5F10"/>
    <w:rsid w:val="00FF0AD2"/>
    <w:rsid w:val="00FF408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F3BEA8"/>
  <w15:chartTrackingRefBased/>
  <w15:docId w15:val="{F78FCB8E-F633-4C02-A78B-2BF39575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18B"/>
    <w:pPr>
      <w:spacing w:after="240"/>
    </w:pPr>
  </w:style>
  <w:style w:type="paragraph" w:styleId="Heading1">
    <w:name w:val="heading 1"/>
    <w:basedOn w:val="Normal"/>
    <w:next w:val="Body"/>
    <w:link w:val="Heading1Char"/>
    <w:qFormat/>
    <w:rsid w:val="0074122F"/>
    <w:pPr>
      <w:keepNext/>
      <w:spacing w:before="120"/>
      <w:outlineLvl w:val="0"/>
    </w:pPr>
    <w:rPr>
      <w:rFonts w:cs="Arial"/>
      <w:b/>
      <w:bCs/>
      <w:sz w:val="28"/>
      <w:szCs w:val="32"/>
    </w:rPr>
  </w:style>
  <w:style w:type="paragraph" w:styleId="Heading2">
    <w:name w:val="heading 2"/>
    <w:basedOn w:val="Normal"/>
    <w:next w:val="Body"/>
    <w:link w:val="Heading2Char"/>
    <w:qFormat/>
    <w:rsid w:val="0074122F"/>
    <w:pPr>
      <w:keepNext/>
      <w:spacing w:before="120"/>
      <w:outlineLvl w:val="1"/>
    </w:pPr>
    <w:rPr>
      <w:rFonts w:cs="Arial"/>
      <w:b/>
      <w:bCs/>
      <w:iCs/>
      <w:sz w:val="24"/>
      <w:szCs w:val="28"/>
    </w:rPr>
  </w:style>
  <w:style w:type="paragraph" w:styleId="Heading3">
    <w:name w:val="heading 3"/>
    <w:basedOn w:val="Normal"/>
    <w:next w:val="Body"/>
    <w:link w:val="Heading3Char"/>
    <w:qFormat/>
    <w:rsid w:val="0074122F"/>
    <w:pPr>
      <w:keepNext/>
      <w:spacing w:before="120"/>
      <w:outlineLvl w:val="2"/>
    </w:pPr>
    <w:rPr>
      <w:rFonts w:cs="Arial"/>
      <w:b/>
      <w:bCs/>
      <w:szCs w:val="26"/>
    </w:rPr>
  </w:style>
  <w:style w:type="paragraph" w:styleId="Heading4">
    <w:name w:val="heading 4"/>
    <w:basedOn w:val="Normal"/>
    <w:link w:val="Heading4Char"/>
    <w:unhideWhenUsed/>
    <w:qFormat/>
    <w:rsid w:val="003F2D35"/>
    <w:pPr>
      <w:tabs>
        <w:tab w:val="num" w:pos="1440"/>
      </w:tabs>
      <w:overflowPunct w:val="0"/>
      <w:autoSpaceDE w:val="0"/>
      <w:autoSpaceDN w:val="0"/>
      <w:adjustRightInd w:val="0"/>
      <w:ind w:left="1440" w:hanging="720"/>
      <w:textAlignment w:val="baseline"/>
      <w:outlineLvl w:val="3"/>
    </w:pPr>
    <w:rPr>
      <w:rFonts w:ascii="Times New Roman" w:hAnsi="Times New Roman"/>
      <w:bCs/>
      <w:iCs/>
      <w:sz w:val="24"/>
      <w:szCs w:val="24"/>
      <w:lang w:val="en-GB"/>
    </w:rPr>
  </w:style>
  <w:style w:type="paragraph" w:styleId="Heading5">
    <w:name w:val="heading 5"/>
    <w:basedOn w:val="Normal"/>
    <w:link w:val="Heading5Char"/>
    <w:unhideWhenUsed/>
    <w:qFormat/>
    <w:rsid w:val="003F2D35"/>
    <w:pPr>
      <w:tabs>
        <w:tab w:val="num" w:pos="2160"/>
      </w:tabs>
      <w:overflowPunct w:val="0"/>
      <w:autoSpaceDE w:val="0"/>
      <w:autoSpaceDN w:val="0"/>
      <w:adjustRightInd w:val="0"/>
      <w:ind w:left="2160" w:hanging="720"/>
      <w:textAlignment w:val="baseline"/>
      <w:outlineLvl w:val="4"/>
    </w:pPr>
    <w:rPr>
      <w:rFonts w:ascii="Times New Roman" w:hAnsi="Times New Roman"/>
      <w:sz w:val="24"/>
      <w:szCs w:val="20"/>
      <w:lang w:val="en-GB"/>
    </w:rPr>
  </w:style>
  <w:style w:type="paragraph" w:styleId="Heading6">
    <w:name w:val="heading 6"/>
    <w:basedOn w:val="Normal"/>
    <w:link w:val="Heading6Char"/>
    <w:unhideWhenUsed/>
    <w:qFormat/>
    <w:rsid w:val="003F2D35"/>
    <w:pPr>
      <w:tabs>
        <w:tab w:val="num" w:pos="2880"/>
      </w:tabs>
      <w:overflowPunct w:val="0"/>
      <w:autoSpaceDE w:val="0"/>
      <w:autoSpaceDN w:val="0"/>
      <w:adjustRightInd w:val="0"/>
      <w:ind w:left="2880" w:hanging="720"/>
      <w:textAlignment w:val="baseline"/>
      <w:outlineLvl w:val="5"/>
    </w:pPr>
    <w:rPr>
      <w:rFonts w:ascii="Times New Roman" w:hAnsi="Times New Roman"/>
      <w:sz w:val="24"/>
      <w:szCs w:val="20"/>
      <w:lang w:val="en-GB"/>
    </w:rPr>
  </w:style>
  <w:style w:type="paragraph" w:styleId="Heading7">
    <w:name w:val="heading 7"/>
    <w:basedOn w:val="Normal"/>
    <w:link w:val="Heading7Char"/>
    <w:unhideWhenUsed/>
    <w:qFormat/>
    <w:rsid w:val="003F2D35"/>
    <w:pPr>
      <w:tabs>
        <w:tab w:val="num" w:pos="3600"/>
      </w:tabs>
      <w:overflowPunct w:val="0"/>
      <w:autoSpaceDE w:val="0"/>
      <w:autoSpaceDN w:val="0"/>
      <w:adjustRightInd w:val="0"/>
      <w:ind w:left="3600" w:hanging="720"/>
      <w:textAlignment w:val="baseline"/>
      <w:outlineLvl w:val="6"/>
    </w:pPr>
    <w:rPr>
      <w:rFonts w:ascii="Times New Roman" w:hAnsi="Times New Roman"/>
      <w:sz w:val="24"/>
      <w:szCs w:val="20"/>
      <w:lang w:val="en-GB"/>
    </w:rPr>
  </w:style>
  <w:style w:type="paragraph" w:styleId="Heading8">
    <w:name w:val="heading 8"/>
    <w:basedOn w:val="Normal"/>
    <w:link w:val="Heading8Char"/>
    <w:unhideWhenUsed/>
    <w:qFormat/>
    <w:rsid w:val="003F2D35"/>
    <w:pPr>
      <w:tabs>
        <w:tab w:val="num" w:pos="4320"/>
      </w:tabs>
      <w:overflowPunct w:val="0"/>
      <w:autoSpaceDE w:val="0"/>
      <w:autoSpaceDN w:val="0"/>
      <w:adjustRightInd w:val="0"/>
      <w:ind w:left="4320" w:hanging="720"/>
      <w:textAlignment w:val="baseline"/>
      <w:outlineLvl w:val="7"/>
    </w:pPr>
    <w:rPr>
      <w:rFonts w:ascii="Times New Roman" w:hAnsi="Times New Roman"/>
      <w:sz w:val="24"/>
      <w:szCs w:val="20"/>
      <w:lang w:val="en-GB"/>
    </w:rPr>
  </w:style>
  <w:style w:type="paragraph" w:styleId="Heading9">
    <w:name w:val="heading 9"/>
    <w:basedOn w:val="Normal"/>
    <w:next w:val="Normal"/>
    <w:link w:val="Heading9Char"/>
    <w:unhideWhenUsed/>
    <w:qFormat/>
    <w:rsid w:val="003F2D35"/>
    <w:pPr>
      <w:keepNext/>
      <w:keepLines/>
      <w:jc w:val="center"/>
      <w:outlineLvl w:val="8"/>
    </w:pPr>
    <w:rPr>
      <w:rFonts w:ascii="Times New Roman" w:hAnsi="Times New Roman"/>
      <w:b/>
      <w:caps/>
      <w:sz w:val="24"/>
      <w:szCs w:val="20"/>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077F"/>
    <w:pPr>
      <w:tabs>
        <w:tab w:val="center" w:pos="4680"/>
        <w:tab w:val="right" w:pos="9360"/>
      </w:tabs>
    </w:pPr>
  </w:style>
  <w:style w:type="character" w:customStyle="1" w:styleId="HeaderChar">
    <w:name w:val="Header Char"/>
    <w:basedOn w:val="DefaultParagraphFont"/>
    <w:link w:val="Header"/>
    <w:rsid w:val="0051077F"/>
    <w:rPr>
      <w:rFonts w:ascii="Arial" w:eastAsia="Times New Roman" w:hAnsi="Arial" w:cs="Times New Roman"/>
      <w:lang w:val="en-CA"/>
    </w:rPr>
  </w:style>
  <w:style w:type="character" w:styleId="PageNumber">
    <w:name w:val="page number"/>
    <w:rsid w:val="0051077F"/>
  </w:style>
  <w:style w:type="paragraph" w:customStyle="1" w:styleId="Body">
    <w:name w:val="Body"/>
    <w:basedOn w:val="Normal"/>
    <w:link w:val="BodyChar"/>
    <w:rsid w:val="0051077F"/>
    <w:pPr>
      <w:spacing w:after="180"/>
    </w:pPr>
  </w:style>
  <w:style w:type="character" w:customStyle="1" w:styleId="Heading1Char">
    <w:name w:val="Heading 1 Char"/>
    <w:basedOn w:val="DefaultParagraphFont"/>
    <w:link w:val="Heading1"/>
    <w:rsid w:val="0051077F"/>
    <w:rPr>
      <w:rFonts w:ascii="Arial" w:eastAsia="Times New Roman" w:hAnsi="Arial" w:cs="Arial"/>
      <w:b/>
      <w:bCs/>
      <w:sz w:val="28"/>
      <w:szCs w:val="32"/>
    </w:rPr>
  </w:style>
  <w:style w:type="character" w:customStyle="1" w:styleId="Heading2Char">
    <w:name w:val="Heading 2 Char"/>
    <w:basedOn w:val="DefaultParagraphFont"/>
    <w:link w:val="Heading2"/>
    <w:rsid w:val="0051077F"/>
    <w:rPr>
      <w:rFonts w:ascii="Arial" w:eastAsia="Times New Roman" w:hAnsi="Arial" w:cs="Arial"/>
      <w:b/>
      <w:bCs/>
      <w:iCs/>
      <w:sz w:val="24"/>
      <w:szCs w:val="28"/>
    </w:rPr>
  </w:style>
  <w:style w:type="character" w:customStyle="1" w:styleId="Heading3Char">
    <w:name w:val="Heading 3 Char"/>
    <w:basedOn w:val="DefaultParagraphFont"/>
    <w:link w:val="Heading3"/>
    <w:semiHidden/>
    <w:rsid w:val="0051077F"/>
    <w:rPr>
      <w:rFonts w:ascii="Arial" w:eastAsia="Times New Roman" w:hAnsi="Arial" w:cs="Arial"/>
      <w:b/>
      <w:bCs/>
      <w:sz w:val="20"/>
      <w:szCs w:val="26"/>
    </w:rPr>
  </w:style>
  <w:style w:type="paragraph" w:styleId="Footer">
    <w:name w:val="footer"/>
    <w:basedOn w:val="Normal"/>
    <w:link w:val="FooterChar"/>
    <w:rsid w:val="0051077F"/>
    <w:pPr>
      <w:tabs>
        <w:tab w:val="center" w:pos="4680"/>
        <w:tab w:val="right" w:pos="9360"/>
      </w:tabs>
    </w:pPr>
  </w:style>
  <w:style w:type="character" w:customStyle="1" w:styleId="FooterChar">
    <w:name w:val="Footer Char"/>
    <w:basedOn w:val="DefaultParagraphFont"/>
    <w:link w:val="Footer"/>
    <w:rsid w:val="0051077F"/>
    <w:rPr>
      <w:rFonts w:ascii="Arial" w:eastAsia="Times New Roman" w:hAnsi="Arial" w:cs="Times New Roman"/>
      <w:lang w:val="en-CA"/>
    </w:rPr>
  </w:style>
  <w:style w:type="character" w:customStyle="1" w:styleId="Prompt">
    <w:name w:val="Prompt"/>
    <w:rsid w:val="0051077F"/>
    <w:rPr>
      <w:color w:val="0000FF"/>
    </w:rPr>
  </w:style>
  <w:style w:type="paragraph" w:customStyle="1" w:styleId="Plain">
    <w:name w:val="Plain"/>
    <w:aliases w:val="P"/>
    <w:basedOn w:val="Body"/>
    <w:rsid w:val="0051077F"/>
    <w:pPr>
      <w:spacing w:after="0"/>
    </w:pPr>
  </w:style>
  <w:style w:type="paragraph" w:styleId="TOC1">
    <w:name w:val="toc 1"/>
    <w:basedOn w:val="Normal"/>
    <w:next w:val="Normal"/>
    <w:autoRedefine/>
    <w:semiHidden/>
    <w:rsid w:val="0051077F"/>
    <w:pPr>
      <w:tabs>
        <w:tab w:val="left" w:pos="720"/>
        <w:tab w:val="right" w:leader="dot" w:pos="9360"/>
      </w:tabs>
    </w:pPr>
  </w:style>
  <w:style w:type="paragraph" w:styleId="TOC2">
    <w:name w:val="toc 2"/>
    <w:basedOn w:val="Normal"/>
    <w:next w:val="Normal"/>
    <w:autoRedefine/>
    <w:semiHidden/>
    <w:rsid w:val="0051077F"/>
    <w:pPr>
      <w:tabs>
        <w:tab w:val="left" w:pos="1440"/>
        <w:tab w:val="right" w:leader="dot" w:pos="9360"/>
      </w:tabs>
      <w:ind w:left="720"/>
    </w:pPr>
  </w:style>
  <w:style w:type="paragraph" w:customStyle="1" w:styleId="Block">
    <w:name w:val="Block"/>
    <w:aliases w:val="B"/>
    <w:basedOn w:val="Body"/>
    <w:rsid w:val="0051077F"/>
    <w:pPr>
      <w:ind w:left="720" w:right="720"/>
    </w:pPr>
  </w:style>
  <w:style w:type="paragraph" w:customStyle="1" w:styleId="Block1">
    <w:name w:val="Block1"/>
    <w:aliases w:val="B1"/>
    <w:basedOn w:val="Block"/>
    <w:rsid w:val="0051077F"/>
    <w:pPr>
      <w:ind w:left="1440" w:right="1440"/>
    </w:pPr>
  </w:style>
  <w:style w:type="paragraph" w:customStyle="1" w:styleId="Block2">
    <w:name w:val="Block2"/>
    <w:aliases w:val="B2"/>
    <w:basedOn w:val="Block"/>
    <w:rsid w:val="0051077F"/>
    <w:pPr>
      <w:ind w:left="2160" w:right="2160"/>
    </w:pPr>
  </w:style>
  <w:style w:type="paragraph" w:customStyle="1" w:styleId="Block3">
    <w:name w:val="Block3"/>
    <w:aliases w:val="B3"/>
    <w:basedOn w:val="Block"/>
    <w:rsid w:val="0051077F"/>
    <w:pPr>
      <w:ind w:left="2880" w:right="2880"/>
    </w:pPr>
  </w:style>
  <w:style w:type="paragraph" w:customStyle="1" w:styleId="Centre">
    <w:name w:val="Centre"/>
    <w:aliases w:val="C"/>
    <w:basedOn w:val="Body"/>
    <w:rsid w:val="0051077F"/>
    <w:pPr>
      <w:jc w:val="center"/>
    </w:pPr>
    <w:rPr>
      <w:b/>
    </w:rPr>
  </w:style>
  <w:style w:type="paragraph" w:customStyle="1" w:styleId="Memo-LeftColumnBold">
    <w:name w:val="Memo - Left Column Bold"/>
    <w:basedOn w:val="Normal"/>
    <w:qFormat/>
    <w:rsid w:val="00872C02"/>
    <w:rPr>
      <w:b/>
    </w:rPr>
  </w:style>
  <w:style w:type="paragraph" w:customStyle="1" w:styleId="Memo-LeftColumn">
    <w:name w:val="Memo - Left Column"/>
    <w:basedOn w:val="Normal"/>
    <w:qFormat/>
    <w:rsid w:val="00872C02"/>
  </w:style>
  <w:style w:type="paragraph" w:customStyle="1" w:styleId="Memo-RightColumnBold">
    <w:name w:val="Memo - Right Column Bold"/>
    <w:basedOn w:val="Normal"/>
    <w:qFormat/>
    <w:rsid w:val="00872C02"/>
    <w:pPr>
      <w:jc w:val="right"/>
    </w:pPr>
    <w:rPr>
      <w:b/>
    </w:rPr>
  </w:style>
  <w:style w:type="character" w:customStyle="1" w:styleId="BodyChar">
    <w:name w:val="Body Char"/>
    <w:basedOn w:val="DefaultParagraphFont"/>
    <w:link w:val="Body"/>
    <w:rsid w:val="00872C02"/>
  </w:style>
  <w:style w:type="paragraph" w:customStyle="1" w:styleId="Indent">
    <w:name w:val="Indent"/>
    <w:aliases w:val="In"/>
    <w:basedOn w:val="Body"/>
    <w:rsid w:val="0051077F"/>
    <w:pPr>
      <w:ind w:left="720"/>
    </w:pPr>
  </w:style>
  <w:style w:type="paragraph" w:customStyle="1" w:styleId="Indent1">
    <w:name w:val="Indent1"/>
    <w:aliases w:val="I1"/>
    <w:basedOn w:val="Indent"/>
    <w:rsid w:val="0051077F"/>
    <w:pPr>
      <w:ind w:left="1440"/>
    </w:pPr>
  </w:style>
  <w:style w:type="paragraph" w:customStyle="1" w:styleId="Indent2">
    <w:name w:val="Indent2"/>
    <w:aliases w:val="I2"/>
    <w:basedOn w:val="Indent"/>
    <w:rsid w:val="0051077F"/>
    <w:pPr>
      <w:ind w:left="2160"/>
    </w:pPr>
  </w:style>
  <w:style w:type="paragraph" w:customStyle="1" w:styleId="Indent3">
    <w:name w:val="Indent3"/>
    <w:aliases w:val="I3"/>
    <w:basedOn w:val="Indent"/>
    <w:rsid w:val="0051077F"/>
    <w:pPr>
      <w:ind w:left="2880"/>
    </w:pPr>
  </w:style>
  <w:style w:type="paragraph" w:customStyle="1" w:styleId="NormalSingle">
    <w:name w:val="Normal Single"/>
    <w:rsid w:val="000B174B"/>
    <w:pPr>
      <w:spacing w:after="240"/>
    </w:pPr>
    <w:rPr>
      <w:lang w:val="en-CA"/>
    </w:rPr>
  </w:style>
  <w:style w:type="character" w:customStyle="1" w:styleId="Reference">
    <w:name w:val="Reference"/>
    <w:aliases w:val="Ref"/>
    <w:rsid w:val="0051077F"/>
    <w:rPr>
      <w:b/>
      <w:sz w:val="16"/>
      <w:szCs w:val="16"/>
    </w:rPr>
  </w:style>
  <w:style w:type="paragraph" w:customStyle="1" w:styleId="Right">
    <w:name w:val="Right"/>
    <w:aliases w:val="R"/>
    <w:basedOn w:val="Body"/>
    <w:rsid w:val="0051077F"/>
    <w:pPr>
      <w:jc w:val="right"/>
    </w:pPr>
  </w:style>
  <w:style w:type="paragraph" w:customStyle="1" w:styleId="TableText">
    <w:name w:val="TableText"/>
    <w:aliases w:val="TT"/>
    <w:basedOn w:val="Body"/>
    <w:rsid w:val="00E032E8"/>
    <w:pPr>
      <w:spacing w:before="60" w:after="60"/>
    </w:pPr>
    <w:rPr>
      <w:sz w:val="20"/>
      <w:szCs w:val="24"/>
    </w:rPr>
  </w:style>
  <w:style w:type="paragraph" w:customStyle="1" w:styleId="Tab">
    <w:name w:val="Tab"/>
    <w:aliases w:val="T"/>
    <w:basedOn w:val="Body"/>
    <w:rsid w:val="0051077F"/>
    <w:pPr>
      <w:ind w:firstLine="720"/>
    </w:pPr>
  </w:style>
  <w:style w:type="paragraph" w:customStyle="1" w:styleId="Tab1">
    <w:name w:val="Tab1"/>
    <w:aliases w:val="T1"/>
    <w:basedOn w:val="Tab"/>
    <w:rsid w:val="0051077F"/>
    <w:pPr>
      <w:ind w:firstLine="1440"/>
    </w:pPr>
  </w:style>
  <w:style w:type="paragraph" w:customStyle="1" w:styleId="Hanging">
    <w:name w:val="Hanging"/>
    <w:aliases w:val="H"/>
    <w:basedOn w:val="Body"/>
    <w:rsid w:val="0051077F"/>
    <w:pPr>
      <w:ind w:left="720" w:hanging="720"/>
    </w:pPr>
  </w:style>
  <w:style w:type="character" w:customStyle="1" w:styleId="Bold">
    <w:name w:val="Bold"/>
    <w:rsid w:val="0051077F"/>
    <w:rPr>
      <w:b/>
    </w:rPr>
  </w:style>
  <w:style w:type="character" w:customStyle="1" w:styleId="BoldU">
    <w:name w:val="BoldU"/>
    <w:basedOn w:val="Bold"/>
    <w:rsid w:val="0051077F"/>
    <w:rPr>
      <w:b/>
      <w:u w:val="single"/>
    </w:rPr>
  </w:style>
  <w:style w:type="character" w:customStyle="1" w:styleId="BoldI">
    <w:name w:val="BoldI"/>
    <w:basedOn w:val="Bold"/>
    <w:rsid w:val="0051077F"/>
    <w:rPr>
      <w:b/>
      <w:i/>
    </w:rPr>
  </w:style>
  <w:style w:type="character" w:customStyle="1" w:styleId="Italic">
    <w:name w:val="Italic"/>
    <w:rsid w:val="0051077F"/>
    <w:rPr>
      <w:i/>
    </w:rPr>
  </w:style>
  <w:style w:type="paragraph" w:styleId="Quote">
    <w:name w:val="Quote"/>
    <w:basedOn w:val="NormalSingle"/>
    <w:link w:val="QuoteChar"/>
    <w:qFormat/>
    <w:rsid w:val="0051077F"/>
    <w:pPr>
      <w:spacing w:after="180"/>
      <w:ind w:left="2160" w:right="1440"/>
    </w:pPr>
  </w:style>
  <w:style w:type="character" w:customStyle="1" w:styleId="QuoteChar">
    <w:name w:val="Quote Char"/>
    <w:basedOn w:val="DefaultParagraphFont"/>
    <w:link w:val="Quote"/>
    <w:rsid w:val="0051077F"/>
    <w:rPr>
      <w:rFonts w:ascii="Arial" w:eastAsia="Times New Roman" w:hAnsi="Arial" w:cs="Times New Roman"/>
      <w:lang w:val="en-CA"/>
    </w:rPr>
  </w:style>
  <w:style w:type="character" w:customStyle="1" w:styleId="Underline">
    <w:name w:val="Underline"/>
    <w:rsid w:val="0051077F"/>
    <w:rPr>
      <w:u w:val="single"/>
    </w:rPr>
  </w:style>
  <w:style w:type="paragraph" w:customStyle="1" w:styleId="Definitions">
    <w:name w:val="Definitions"/>
    <w:basedOn w:val="Body"/>
    <w:qFormat/>
    <w:rsid w:val="0051077F"/>
    <w:pPr>
      <w:ind w:left="720"/>
    </w:pPr>
  </w:style>
  <w:style w:type="paragraph" w:customStyle="1" w:styleId="PARTIES">
    <w:name w:val="PARTIES"/>
    <w:basedOn w:val="Body"/>
    <w:rsid w:val="0051077F"/>
    <w:pPr>
      <w:ind w:left="1440" w:right="720"/>
    </w:pPr>
    <w:rPr>
      <w:szCs w:val="24"/>
    </w:rPr>
  </w:style>
  <w:style w:type="paragraph" w:customStyle="1" w:styleId="TableHeading">
    <w:name w:val="TableHeading"/>
    <w:aliases w:val="TH"/>
    <w:basedOn w:val="NormalSingle"/>
    <w:rsid w:val="00E032E8"/>
    <w:pPr>
      <w:keepNext/>
      <w:spacing w:before="120" w:after="120"/>
      <w:jc w:val="center"/>
    </w:pPr>
    <w:rPr>
      <w:b/>
      <w:sz w:val="20"/>
    </w:rPr>
  </w:style>
  <w:style w:type="paragraph" w:customStyle="1" w:styleId="TableHeadingLeft">
    <w:name w:val="TableHeading Left"/>
    <w:basedOn w:val="TableHeading"/>
    <w:qFormat/>
    <w:rsid w:val="0051077F"/>
    <w:pPr>
      <w:jc w:val="left"/>
    </w:pPr>
  </w:style>
  <w:style w:type="paragraph" w:customStyle="1" w:styleId="TableHeadingRight">
    <w:name w:val="TableHeading Right"/>
    <w:basedOn w:val="TableHeading"/>
    <w:qFormat/>
    <w:rsid w:val="0051077F"/>
    <w:pPr>
      <w:jc w:val="right"/>
    </w:pPr>
  </w:style>
  <w:style w:type="paragraph" w:customStyle="1" w:styleId="TableTextCentre">
    <w:name w:val="TableText Centre"/>
    <w:basedOn w:val="TableText"/>
    <w:qFormat/>
    <w:rsid w:val="0051077F"/>
    <w:pPr>
      <w:jc w:val="center"/>
    </w:pPr>
  </w:style>
  <w:style w:type="paragraph" w:customStyle="1" w:styleId="TableTextRight">
    <w:name w:val="TableText Right"/>
    <w:basedOn w:val="TableText"/>
    <w:qFormat/>
    <w:rsid w:val="0051077F"/>
    <w:pPr>
      <w:jc w:val="right"/>
    </w:pPr>
  </w:style>
  <w:style w:type="numbering" w:customStyle="1" w:styleId="RecitalsList">
    <w:name w:val="Recitals List"/>
    <w:basedOn w:val="NoList"/>
    <w:rsid w:val="0051077F"/>
    <w:pPr>
      <w:numPr>
        <w:numId w:val="13"/>
      </w:numPr>
    </w:pPr>
  </w:style>
  <w:style w:type="table" w:styleId="TableGrid">
    <w:name w:val="Table Grid"/>
    <w:basedOn w:val="TableNormal"/>
    <w:uiPriority w:val="39"/>
    <w:rsid w:val="0074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e-UnderlineandItalic">
    <w:name w:val="Centre - Underline and Italic"/>
    <w:basedOn w:val="Body"/>
    <w:qFormat/>
    <w:rsid w:val="006F02BC"/>
    <w:pPr>
      <w:ind w:left="720"/>
      <w:jc w:val="center"/>
    </w:pPr>
    <w:rPr>
      <w:b/>
      <w:i/>
      <w:u w:val="single"/>
    </w:rPr>
  </w:style>
  <w:style w:type="paragraph" w:customStyle="1" w:styleId="Heading-Bold">
    <w:name w:val="Heading - Bold"/>
    <w:basedOn w:val="Body"/>
    <w:qFormat/>
    <w:rsid w:val="002A58B4"/>
    <w:pPr>
      <w:keepNext/>
    </w:pPr>
    <w:rPr>
      <w:b/>
    </w:rPr>
  </w:style>
  <w:style w:type="paragraph" w:customStyle="1" w:styleId="Table-NumL1">
    <w:name w:val="Table - Num L1"/>
    <w:basedOn w:val="TableText"/>
    <w:qFormat/>
    <w:rsid w:val="00B21D83"/>
    <w:pPr>
      <w:numPr>
        <w:numId w:val="16"/>
      </w:numPr>
    </w:pPr>
    <w:rPr>
      <w:u w:val="single"/>
    </w:rPr>
  </w:style>
  <w:style w:type="paragraph" w:customStyle="1" w:styleId="Table-Bullet">
    <w:name w:val="Table - Bullet"/>
    <w:basedOn w:val="TableText"/>
    <w:qFormat/>
    <w:rsid w:val="00B21D83"/>
    <w:pPr>
      <w:numPr>
        <w:numId w:val="17"/>
      </w:numPr>
    </w:pPr>
  </w:style>
  <w:style w:type="paragraph" w:styleId="FootnoteText">
    <w:name w:val="footnote text"/>
    <w:basedOn w:val="Normal"/>
    <w:link w:val="FootnoteTextChar"/>
    <w:uiPriority w:val="99"/>
    <w:rsid w:val="00E032E8"/>
    <w:pPr>
      <w:spacing w:after="0"/>
      <w:ind w:left="432" w:hanging="432"/>
    </w:pPr>
    <w:rPr>
      <w:sz w:val="18"/>
    </w:rPr>
  </w:style>
  <w:style w:type="character" w:customStyle="1" w:styleId="FootnoteTextChar">
    <w:name w:val="Footnote Text Char"/>
    <w:basedOn w:val="DefaultParagraphFont"/>
    <w:link w:val="FootnoteText"/>
    <w:uiPriority w:val="99"/>
    <w:rsid w:val="00E032E8"/>
    <w:rPr>
      <w:sz w:val="18"/>
    </w:rPr>
  </w:style>
  <w:style w:type="character" w:styleId="FootnoteReference">
    <w:name w:val="footnote reference"/>
    <w:basedOn w:val="DefaultParagraphFont"/>
    <w:uiPriority w:val="99"/>
    <w:rsid w:val="0074518B"/>
    <w:rPr>
      <w:vertAlign w:val="superscript"/>
    </w:rPr>
  </w:style>
  <w:style w:type="paragraph" w:customStyle="1" w:styleId="MacPacTrailer">
    <w:name w:val="MacPac Trailer"/>
    <w:rsid w:val="001A4DB6"/>
    <w:pPr>
      <w:widowControl w:val="0"/>
      <w:spacing w:line="200" w:lineRule="exact"/>
    </w:pPr>
    <w:rPr>
      <w:sz w:val="16"/>
    </w:rPr>
  </w:style>
  <w:style w:type="character" w:styleId="PlaceholderText">
    <w:name w:val="Placeholder Text"/>
    <w:basedOn w:val="DefaultParagraphFont"/>
    <w:uiPriority w:val="99"/>
    <w:semiHidden/>
    <w:rsid w:val="00A54219"/>
    <w:rPr>
      <w:color w:val="808080"/>
    </w:rPr>
  </w:style>
  <w:style w:type="character" w:styleId="Hyperlink">
    <w:name w:val="Hyperlink"/>
    <w:basedOn w:val="DefaultParagraphFont"/>
    <w:uiPriority w:val="99"/>
    <w:semiHidden/>
    <w:unhideWhenUsed/>
    <w:rsid w:val="001F4D2C"/>
    <w:rPr>
      <w:color w:val="0000FF"/>
      <w:u w:val="single"/>
    </w:rPr>
  </w:style>
  <w:style w:type="paragraph" w:styleId="EndnoteText">
    <w:name w:val="endnote text"/>
    <w:basedOn w:val="Normal"/>
    <w:link w:val="EndnoteTextChar"/>
    <w:uiPriority w:val="99"/>
    <w:unhideWhenUsed/>
    <w:rsid w:val="00511A71"/>
    <w:pPr>
      <w:spacing w:after="0"/>
    </w:pPr>
    <w:rPr>
      <w:sz w:val="20"/>
      <w:szCs w:val="20"/>
    </w:rPr>
  </w:style>
  <w:style w:type="character" w:customStyle="1" w:styleId="EndnoteTextChar">
    <w:name w:val="Endnote Text Char"/>
    <w:basedOn w:val="DefaultParagraphFont"/>
    <w:link w:val="EndnoteText"/>
    <w:uiPriority w:val="99"/>
    <w:rsid w:val="00511A71"/>
    <w:rPr>
      <w:sz w:val="20"/>
      <w:szCs w:val="20"/>
    </w:rPr>
  </w:style>
  <w:style w:type="character" w:styleId="EndnoteReference">
    <w:name w:val="endnote reference"/>
    <w:basedOn w:val="DefaultParagraphFont"/>
    <w:uiPriority w:val="99"/>
    <w:semiHidden/>
    <w:unhideWhenUsed/>
    <w:rsid w:val="00511A71"/>
    <w:rPr>
      <w:vertAlign w:val="superscript"/>
    </w:rPr>
  </w:style>
  <w:style w:type="character" w:styleId="CommentReference">
    <w:name w:val="annotation reference"/>
    <w:basedOn w:val="DefaultParagraphFont"/>
    <w:uiPriority w:val="99"/>
    <w:semiHidden/>
    <w:unhideWhenUsed/>
    <w:rsid w:val="00C01034"/>
    <w:rPr>
      <w:sz w:val="16"/>
      <w:szCs w:val="16"/>
    </w:rPr>
  </w:style>
  <w:style w:type="paragraph" w:styleId="CommentText">
    <w:name w:val="annotation text"/>
    <w:basedOn w:val="Normal"/>
    <w:link w:val="CommentTextChar"/>
    <w:uiPriority w:val="99"/>
    <w:semiHidden/>
    <w:unhideWhenUsed/>
    <w:rsid w:val="00C01034"/>
    <w:rPr>
      <w:sz w:val="20"/>
      <w:szCs w:val="20"/>
    </w:rPr>
  </w:style>
  <w:style w:type="character" w:customStyle="1" w:styleId="CommentTextChar">
    <w:name w:val="Comment Text Char"/>
    <w:basedOn w:val="DefaultParagraphFont"/>
    <w:link w:val="CommentText"/>
    <w:uiPriority w:val="99"/>
    <w:semiHidden/>
    <w:rsid w:val="00C01034"/>
    <w:rPr>
      <w:sz w:val="20"/>
      <w:szCs w:val="20"/>
    </w:rPr>
  </w:style>
  <w:style w:type="paragraph" w:styleId="CommentSubject">
    <w:name w:val="annotation subject"/>
    <w:basedOn w:val="CommentText"/>
    <w:next w:val="CommentText"/>
    <w:link w:val="CommentSubjectChar"/>
    <w:uiPriority w:val="99"/>
    <w:semiHidden/>
    <w:unhideWhenUsed/>
    <w:rsid w:val="00C01034"/>
    <w:rPr>
      <w:b/>
      <w:bCs/>
    </w:rPr>
  </w:style>
  <w:style w:type="character" w:customStyle="1" w:styleId="CommentSubjectChar">
    <w:name w:val="Comment Subject Char"/>
    <w:basedOn w:val="CommentTextChar"/>
    <w:link w:val="CommentSubject"/>
    <w:uiPriority w:val="99"/>
    <w:semiHidden/>
    <w:rsid w:val="00C01034"/>
    <w:rPr>
      <w:b/>
      <w:bCs/>
      <w:sz w:val="20"/>
      <w:szCs w:val="20"/>
    </w:rPr>
  </w:style>
  <w:style w:type="paragraph" w:customStyle="1" w:styleId="ListParagraphNon-Hanging">
    <w:name w:val="List Paragraph Non-Hanging"/>
    <w:basedOn w:val="Normal"/>
    <w:qFormat/>
    <w:rsid w:val="00102DEE"/>
    <w:pPr>
      <w:numPr>
        <w:numId w:val="21"/>
      </w:numPr>
      <w:ind w:left="0" w:firstLine="0"/>
      <w:jc w:val="both"/>
    </w:pPr>
    <w:rPr>
      <w:rFonts w:ascii="Calibri" w:hAnsi="Calibri"/>
      <w:szCs w:val="20"/>
      <w:lang w:val="en-CA"/>
    </w:rPr>
  </w:style>
  <w:style w:type="paragraph" w:styleId="BalloonText">
    <w:name w:val="Balloon Text"/>
    <w:basedOn w:val="Normal"/>
    <w:link w:val="BalloonTextChar"/>
    <w:uiPriority w:val="99"/>
    <w:semiHidden/>
    <w:unhideWhenUsed/>
    <w:rsid w:val="00B326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668"/>
    <w:rPr>
      <w:rFonts w:ascii="Segoe UI" w:hAnsi="Segoe UI" w:cs="Segoe UI"/>
      <w:sz w:val="18"/>
      <w:szCs w:val="18"/>
    </w:rPr>
  </w:style>
  <w:style w:type="character" w:customStyle="1" w:styleId="Heading4Char">
    <w:name w:val="Heading 4 Char"/>
    <w:basedOn w:val="DefaultParagraphFont"/>
    <w:link w:val="Heading4"/>
    <w:rsid w:val="003F2D35"/>
    <w:rPr>
      <w:rFonts w:ascii="Times New Roman" w:hAnsi="Times New Roman"/>
      <w:bCs/>
      <w:iCs/>
      <w:sz w:val="24"/>
      <w:szCs w:val="24"/>
      <w:lang w:val="en-GB"/>
    </w:rPr>
  </w:style>
  <w:style w:type="character" w:customStyle="1" w:styleId="Heading5Char">
    <w:name w:val="Heading 5 Char"/>
    <w:basedOn w:val="DefaultParagraphFont"/>
    <w:link w:val="Heading5"/>
    <w:rsid w:val="003F2D35"/>
    <w:rPr>
      <w:rFonts w:ascii="Times New Roman" w:hAnsi="Times New Roman"/>
      <w:sz w:val="24"/>
      <w:szCs w:val="20"/>
      <w:lang w:val="en-GB"/>
    </w:rPr>
  </w:style>
  <w:style w:type="character" w:customStyle="1" w:styleId="Heading6Char">
    <w:name w:val="Heading 6 Char"/>
    <w:basedOn w:val="DefaultParagraphFont"/>
    <w:link w:val="Heading6"/>
    <w:rsid w:val="003F2D35"/>
    <w:rPr>
      <w:rFonts w:ascii="Times New Roman" w:hAnsi="Times New Roman"/>
      <w:sz w:val="24"/>
      <w:szCs w:val="20"/>
      <w:lang w:val="en-GB"/>
    </w:rPr>
  </w:style>
  <w:style w:type="character" w:customStyle="1" w:styleId="Heading7Char">
    <w:name w:val="Heading 7 Char"/>
    <w:basedOn w:val="DefaultParagraphFont"/>
    <w:link w:val="Heading7"/>
    <w:rsid w:val="003F2D35"/>
    <w:rPr>
      <w:rFonts w:ascii="Times New Roman" w:hAnsi="Times New Roman"/>
      <w:sz w:val="24"/>
      <w:szCs w:val="20"/>
      <w:lang w:val="en-GB"/>
    </w:rPr>
  </w:style>
  <w:style w:type="character" w:customStyle="1" w:styleId="Heading8Char">
    <w:name w:val="Heading 8 Char"/>
    <w:basedOn w:val="DefaultParagraphFont"/>
    <w:link w:val="Heading8"/>
    <w:rsid w:val="003F2D35"/>
    <w:rPr>
      <w:rFonts w:ascii="Times New Roman" w:hAnsi="Times New Roman"/>
      <w:sz w:val="24"/>
      <w:szCs w:val="20"/>
      <w:lang w:val="en-GB"/>
    </w:rPr>
  </w:style>
  <w:style w:type="character" w:customStyle="1" w:styleId="Heading9Char">
    <w:name w:val="Heading 9 Char"/>
    <w:basedOn w:val="DefaultParagraphFont"/>
    <w:link w:val="Heading9"/>
    <w:rsid w:val="003F2D35"/>
    <w:rPr>
      <w:rFonts w:ascii="Times New Roman" w:hAnsi="Times New Roman"/>
      <w:b/>
      <w:caps/>
      <w:sz w:val="24"/>
      <w:szCs w:val="20"/>
      <w:u w:val="single"/>
      <w:lang w:val="en-CA"/>
    </w:rPr>
  </w:style>
  <w:style w:type="paragraph" w:styleId="BodyText">
    <w:name w:val="Body Text"/>
    <w:basedOn w:val="Normal"/>
    <w:link w:val="BodyTextChar"/>
    <w:rsid w:val="00F9766B"/>
    <w:pPr>
      <w:spacing w:before="240" w:after="0"/>
      <w:jc w:val="both"/>
    </w:pPr>
    <w:rPr>
      <w:rFonts w:ascii="Times New Roman" w:hAnsi="Times New Roman"/>
      <w:sz w:val="24"/>
      <w:szCs w:val="20"/>
      <w:lang w:val="en-CA"/>
    </w:rPr>
  </w:style>
  <w:style w:type="character" w:customStyle="1" w:styleId="BodyTextChar">
    <w:name w:val="Body Text Char"/>
    <w:basedOn w:val="DefaultParagraphFont"/>
    <w:link w:val="BodyText"/>
    <w:rsid w:val="00F9766B"/>
    <w:rPr>
      <w:rFonts w:ascii="Times New Roman" w:hAnsi="Times New Roman"/>
      <w:sz w:val="24"/>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awsociety.bc.ca/Website/media/Shared/docs/practice/SLOC/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CB4E0-EBD3-41F3-830A-D4CD6D23B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3553</Characters>
  <Application>Microsoft Office Word</Application>
  <DocSecurity>0</DocSecurity>
  <PresentationFormat>15|.DOCX</PresentationFormat>
  <Lines>29</Lines>
  <Paragraphs>8</Paragraphs>
  <ScaleCrop>false</ScaleCrop>
  <HeadingPairs>
    <vt:vector size="2" baseType="variant">
      <vt:variant>
        <vt:lpstr>Title</vt:lpstr>
      </vt:variant>
      <vt:variant>
        <vt:i4>1</vt:i4>
      </vt:variant>
    </vt:vector>
  </HeadingPairs>
  <TitlesOfParts>
    <vt:vector size="1" baseType="lpstr">
      <vt:lpstr>SLOC Opinions Due Diligence Memo (03153342).DOCX</vt:lpstr>
    </vt:vector>
  </TitlesOfParts>
  <Company>Cassels Brock &amp; Blackwell LLP</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SLOC Opinions Due Diligence Memo (03153342).DOCX</dc:title>
  <dc:subject>03153342;1/Font=7</dc:subject>
  <dc:creator>Andrea East</dc:creator>
  <cp:keywords/>
  <dc:description/>
  <cp:lastModifiedBy>Towriss, Shauna</cp:lastModifiedBy>
  <cp:revision>11</cp:revision>
  <cp:lastPrinted>2021-09-09T23:37:00Z</cp:lastPrinted>
  <dcterms:created xsi:type="dcterms:W3CDTF">2023-02-10T19:41:00Z</dcterms:created>
  <dcterms:modified xsi:type="dcterms:W3CDTF">2023-02-28T18:47:00Z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